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72" w:rsidRPr="00616A70" w:rsidRDefault="006544A0" w:rsidP="00095872">
      <w:pPr>
        <w:jc w:val="center"/>
        <w:rPr>
          <w:rFonts w:cs="Tahoma"/>
          <w:b/>
          <w:sz w:val="44"/>
        </w:rPr>
      </w:pPr>
      <w:r w:rsidRPr="00616A70">
        <w:rPr>
          <w:rFonts w:cs="Tahoma"/>
          <w:b/>
          <w:sz w:val="44"/>
        </w:rPr>
        <w:t xml:space="preserve">SZCZEGÓŁOWY </w:t>
      </w:r>
      <w:r w:rsidR="00193C41" w:rsidRPr="00616A70">
        <w:rPr>
          <w:rFonts w:cs="Tahoma"/>
          <w:b/>
          <w:sz w:val="44"/>
        </w:rPr>
        <w:t>OPIS PRZEDMIOTU ZAMÓWIENIA</w:t>
      </w:r>
    </w:p>
    <w:p w:rsidR="00095872" w:rsidRPr="00616A70" w:rsidRDefault="00095872" w:rsidP="00B44DCA">
      <w:pPr>
        <w:rPr>
          <w:rFonts w:cs="Tahoma"/>
          <w:b/>
        </w:rPr>
      </w:pPr>
    </w:p>
    <w:p w:rsidR="00193C41" w:rsidRPr="00616A70" w:rsidRDefault="00193C41" w:rsidP="00B44DCA">
      <w:pPr>
        <w:rPr>
          <w:rFonts w:cs="Tahoma"/>
          <w:b/>
        </w:rPr>
      </w:pPr>
      <w:r w:rsidRPr="00616A70">
        <w:rPr>
          <w:rFonts w:cs="Tahoma"/>
          <w:b/>
        </w:rPr>
        <w:t>NAZWA ZAMAWIAJĄCEGO:</w:t>
      </w:r>
    </w:p>
    <w:p w:rsidR="00193C41" w:rsidRPr="00616A70" w:rsidRDefault="00193C41" w:rsidP="00B44DCA">
      <w:pPr>
        <w:ind w:left="708"/>
        <w:rPr>
          <w:rFonts w:cs="Tahoma"/>
        </w:rPr>
      </w:pPr>
      <w:r w:rsidRPr="00616A70">
        <w:rPr>
          <w:rFonts w:cs="Tahoma"/>
        </w:rPr>
        <w:t>Gmina Sobótka</w:t>
      </w:r>
    </w:p>
    <w:p w:rsidR="00193C41" w:rsidRPr="00616A70" w:rsidRDefault="00193C41" w:rsidP="00B44DCA">
      <w:pPr>
        <w:ind w:left="708"/>
        <w:rPr>
          <w:rFonts w:cs="Tahoma"/>
        </w:rPr>
      </w:pPr>
      <w:r w:rsidRPr="00616A70">
        <w:rPr>
          <w:rFonts w:cs="Tahoma"/>
        </w:rPr>
        <w:t>Ul. Rynek 1</w:t>
      </w:r>
    </w:p>
    <w:p w:rsidR="00193C41" w:rsidRPr="00616A70" w:rsidRDefault="00193C41" w:rsidP="00B44DCA">
      <w:pPr>
        <w:ind w:left="708"/>
        <w:rPr>
          <w:rFonts w:cs="Tahoma"/>
        </w:rPr>
      </w:pPr>
      <w:r w:rsidRPr="00616A70">
        <w:rPr>
          <w:rFonts w:cs="Tahoma"/>
        </w:rPr>
        <w:t>55-050 Sobótka</w:t>
      </w:r>
    </w:p>
    <w:p w:rsidR="00193C41" w:rsidRPr="00616A70" w:rsidRDefault="00193C41" w:rsidP="00B44DCA">
      <w:pPr>
        <w:rPr>
          <w:rFonts w:cs="Tahoma"/>
        </w:rPr>
      </w:pPr>
    </w:p>
    <w:p w:rsidR="00193C41" w:rsidRPr="00616A70" w:rsidRDefault="00193C41" w:rsidP="00B44DCA">
      <w:pPr>
        <w:rPr>
          <w:rFonts w:cs="Tahoma"/>
          <w:b/>
        </w:rPr>
      </w:pPr>
      <w:r w:rsidRPr="00616A70">
        <w:rPr>
          <w:rFonts w:cs="Tahoma"/>
          <w:b/>
        </w:rPr>
        <w:t>NAZWA ZAMÓWIENIA:</w:t>
      </w:r>
    </w:p>
    <w:p w:rsidR="00193C41" w:rsidRPr="00616A70" w:rsidRDefault="00193C41" w:rsidP="00B44DCA">
      <w:pPr>
        <w:ind w:firstLine="708"/>
        <w:rPr>
          <w:sz w:val="24"/>
          <w:szCs w:val="16"/>
        </w:rPr>
      </w:pPr>
      <w:r w:rsidRPr="00616A70">
        <w:rPr>
          <w:sz w:val="24"/>
          <w:szCs w:val="16"/>
        </w:rPr>
        <w:t xml:space="preserve">Modernizacja oświetlenia drogowego na terenie gminy Sobótka </w:t>
      </w:r>
    </w:p>
    <w:p w:rsidR="00193C41" w:rsidRPr="00616A70" w:rsidRDefault="00193C41" w:rsidP="00B44DCA">
      <w:pPr>
        <w:rPr>
          <w:rFonts w:cs="Tahoma"/>
        </w:rPr>
      </w:pPr>
    </w:p>
    <w:p w:rsidR="00193C41" w:rsidRPr="00616A70" w:rsidRDefault="00193C41" w:rsidP="00B44DCA">
      <w:pPr>
        <w:rPr>
          <w:rFonts w:cs="Tahoma"/>
          <w:b/>
        </w:rPr>
      </w:pPr>
      <w:r w:rsidRPr="00616A70">
        <w:rPr>
          <w:rFonts w:cs="Tahoma"/>
          <w:b/>
        </w:rPr>
        <w:t>MIEJSCE WYKONANIA ZAMÓWIENIA:</w:t>
      </w:r>
    </w:p>
    <w:p w:rsidR="00193C41" w:rsidRPr="00616A70" w:rsidRDefault="00193C41" w:rsidP="00B44DCA">
      <w:pPr>
        <w:ind w:firstLine="708"/>
        <w:rPr>
          <w:rFonts w:cs="Tahoma"/>
        </w:rPr>
      </w:pPr>
      <w:r w:rsidRPr="00616A70">
        <w:rPr>
          <w:rFonts w:cs="Tahoma"/>
        </w:rPr>
        <w:t>Gmina Sobótka</w:t>
      </w:r>
    </w:p>
    <w:p w:rsidR="00193C41" w:rsidRPr="00616A70" w:rsidRDefault="00193C41" w:rsidP="00B44DCA">
      <w:pPr>
        <w:rPr>
          <w:rFonts w:cs="Tahoma"/>
        </w:rPr>
      </w:pPr>
    </w:p>
    <w:p w:rsidR="00193C41" w:rsidRPr="00616A70" w:rsidRDefault="00193C41" w:rsidP="00B44DCA">
      <w:pPr>
        <w:rPr>
          <w:rFonts w:cs="Tahoma"/>
          <w:b/>
        </w:rPr>
      </w:pPr>
      <w:r w:rsidRPr="00616A70">
        <w:rPr>
          <w:rFonts w:cs="Tahoma"/>
          <w:b/>
        </w:rPr>
        <w:t>WSPÓLNY SŁOWNIK ZAMÓWIEŃ PUBLICZNYCH:</w:t>
      </w:r>
    </w:p>
    <w:p w:rsidR="00193C41" w:rsidRPr="00616A70" w:rsidRDefault="00193C41" w:rsidP="00B44DCA">
      <w:pPr>
        <w:ind w:left="708"/>
        <w:rPr>
          <w:rFonts w:cs="Tahoma"/>
        </w:rPr>
      </w:pPr>
      <w:r w:rsidRPr="00616A70">
        <w:rPr>
          <w:rFonts w:cs="Tahoma"/>
        </w:rPr>
        <w:t>31520000-7 Lampy i oprawy oświetleniowe</w:t>
      </w:r>
    </w:p>
    <w:p w:rsidR="00193C41" w:rsidRPr="00616A70" w:rsidRDefault="00193C41" w:rsidP="00B44DCA">
      <w:pPr>
        <w:ind w:left="708"/>
        <w:rPr>
          <w:rFonts w:cs="Tahoma"/>
        </w:rPr>
      </w:pPr>
      <w:r w:rsidRPr="00616A70">
        <w:rPr>
          <w:rFonts w:cs="Tahoma"/>
        </w:rPr>
        <w:t>45311200-2 Roboty w zakresie instalacji elektrycznych</w:t>
      </w:r>
    </w:p>
    <w:p w:rsidR="00193C41" w:rsidRPr="00616A70" w:rsidRDefault="00193C41" w:rsidP="00B44DCA">
      <w:pPr>
        <w:ind w:left="708"/>
        <w:rPr>
          <w:rFonts w:cs="Tahoma"/>
        </w:rPr>
      </w:pPr>
      <w:r w:rsidRPr="00616A70">
        <w:rPr>
          <w:rFonts w:cs="Tahoma"/>
        </w:rPr>
        <w:t>45316110-9 Instalowanie urządzeń oświetlenia drogowego</w:t>
      </w:r>
    </w:p>
    <w:p w:rsidR="00B44DCA" w:rsidRPr="00616A70" w:rsidRDefault="00193C41" w:rsidP="00B44DCA">
      <w:pPr>
        <w:ind w:left="708"/>
        <w:rPr>
          <w:rFonts w:cs="Tahoma"/>
        </w:rPr>
      </w:pPr>
      <w:r w:rsidRPr="00616A70">
        <w:rPr>
          <w:rFonts w:cs="Tahoma"/>
        </w:rPr>
        <w:t>71320000-7 Usługi inżynieryjne w zakresie projektowania</w:t>
      </w:r>
    </w:p>
    <w:p w:rsidR="00095872" w:rsidRPr="00616A70" w:rsidRDefault="00095872" w:rsidP="00B44DCA">
      <w:pPr>
        <w:ind w:left="708"/>
        <w:rPr>
          <w:rFonts w:cs="Tahoma"/>
        </w:rPr>
      </w:pPr>
    </w:p>
    <w:p w:rsidR="00B44DCA" w:rsidRPr="00616A70" w:rsidRDefault="00B44DCA">
      <w:pPr>
        <w:rPr>
          <w:rFonts w:cs="Tahoma"/>
        </w:rPr>
      </w:pPr>
      <w:r w:rsidRPr="00616A70">
        <w:rPr>
          <w:rFonts w:cs="Tahoma"/>
        </w:rPr>
        <w:br w:type="page"/>
      </w:r>
    </w:p>
    <w:sdt>
      <w:sdtPr>
        <w:rPr>
          <w:rFonts w:cs="Tahoma"/>
          <w:b/>
          <w:szCs w:val="22"/>
        </w:rPr>
        <w:id w:val="-1493257353"/>
        <w:docPartObj>
          <w:docPartGallery w:val="Table of Contents"/>
          <w:docPartUnique/>
        </w:docPartObj>
      </w:sdtPr>
      <w:sdtEndPr>
        <w:rPr>
          <w:b w:val="0"/>
          <w:bCs/>
          <w:noProof/>
        </w:rPr>
      </w:sdtEndPr>
      <w:sdtContent>
        <w:p w:rsidR="00193C41" w:rsidRPr="00616A70" w:rsidRDefault="00193C41" w:rsidP="00982BCB">
          <w:pPr>
            <w:rPr>
              <w:rFonts w:cs="Tahoma"/>
              <w:b/>
              <w:szCs w:val="22"/>
            </w:rPr>
          </w:pPr>
          <w:r w:rsidRPr="00616A70">
            <w:rPr>
              <w:rFonts w:cs="Tahoma"/>
              <w:b/>
              <w:szCs w:val="22"/>
            </w:rPr>
            <w:t>Spis treśc</w:t>
          </w:r>
          <w:r w:rsidR="00B44DCA" w:rsidRPr="00616A70">
            <w:rPr>
              <w:rFonts w:cs="Tahoma"/>
              <w:b/>
              <w:szCs w:val="22"/>
            </w:rPr>
            <w:t>i</w:t>
          </w:r>
        </w:p>
        <w:p w:rsidR="00982BCB" w:rsidRPr="00616A70" w:rsidRDefault="00982BCB" w:rsidP="00982BCB">
          <w:pPr>
            <w:rPr>
              <w:rFonts w:cs="Tahoma"/>
              <w:b/>
              <w:szCs w:val="22"/>
            </w:rPr>
          </w:pPr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 w:rsidRPr="00616A70">
            <w:fldChar w:fldCharType="begin"/>
          </w:r>
          <w:r w:rsidR="00B44DCA" w:rsidRPr="00616A70">
            <w:instrText xml:space="preserve"> TOC \o "1-3" \h \z \t "Nagłówek spisu treści;4" </w:instrText>
          </w:r>
          <w:r w:rsidRPr="00616A70">
            <w:fldChar w:fldCharType="separate"/>
          </w:r>
          <w:hyperlink w:anchor="_Toc171518356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I.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Podstawa prawna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_Toc171518356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3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57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II.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Przedmiot zamówienia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_Toc171518357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4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58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1.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Opis przedmiotu zamówienia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_Toc171518358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4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59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2.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Zakres przedmiotu zamówienia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_Toc171518359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4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0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3.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Uwarunkowania wykonania przedmiotu zamówienia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_Toc171518360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5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1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4.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Uwarunkowania wymiany istniejących opraw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_Toc171518361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6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2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5.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Uwagi dotyczące wykonania robót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_Toc171518362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6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ind w:left="851" w:hanging="567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3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6.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Uwarunkowania w zakresie parametrów opraw i systemu sterowania użytych do modernizacji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_Toc171518363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7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ind w:left="851" w:hanging="567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4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III.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Propozycje dodatkowych zapisów mających na celu ochronę interesów zamawiającego.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_Toc171518364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14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5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1.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Uwarunkowania dotyczące równoważności ofert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_Toc171518365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14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6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2.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Informacja o warunkach udziału w postępowaniu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_Toc171518366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15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7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3.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Wadium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_Toc171518367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16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8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4.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Gwarancja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_Toc171518368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16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82BCB" w:rsidRPr="00616A70" w:rsidRDefault="0086584F" w:rsidP="00982BCB">
          <w:pPr>
            <w:pStyle w:val="Spistreci4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71518369" w:history="1"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5.</w:t>
            </w:r>
            <w:r w:rsidR="00982BCB" w:rsidRPr="00616A70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982BCB" w:rsidRPr="00616A70">
              <w:rPr>
                <w:rStyle w:val="Hipercze"/>
                <w:rFonts w:cs="Tahoma"/>
                <w:noProof/>
                <w:sz w:val="22"/>
                <w:szCs w:val="22"/>
              </w:rPr>
              <w:t>Kryteria oceny oferty</w:t>
            </w:r>
            <w:r w:rsidR="00982BCB" w:rsidRPr="00616A70">
              <w:rPr>
                <w:noProof/>
                <w:webHidden/>
                <w:sz w:val="22"/>
                <w:szCs w:val="22"/>
              </w:rPr>
              <w:tab/>
            </w:r>
            <w:r w:rsidRPr="00616A70">
              <w:rPr>
                <w:noProof/>
                <w:webHidden/>
                <w:sz w:val="22"/>
                <w:szCs w:val="22"/>
              </w:rPr>
              <w:fldChar w:fldCharType="begin"/>
            </w:r>
            <w:r w:rsidR="00982BCB" w:rsidRPr="00616A70">
              <w:rPr>
                <w:noProof/>
                <w:webHidden/>
                <w:sz w:val="22"/>
                <w:szCs w:val="22"/>
              </w:rPr>
              <w:instrText xml:space="preserve"> PAGEREF _Toc171518369 \h </w:instrText>
            </w:r>
            <w:r w:rsidRPr="00616A70">
              <w:rPr>
                <w:noProof/>
                <w:webHidden/>
                <w:sz w:val="22"/>
                <w:szCs w:val="22"/>
              </w:rPr>
            </w:r>
            <w:r w:rsidRPr="00616A70">
              <w:rPr>
                <w:noProof/>
                <w:webHidden/>
                <w:sz w:val="22"/>
                <w:szCs w:val="22"/>
              </w:rPr>
              <w:fldChar w:fldCharType="separate"/>
            </w:r>
            <w:r w:rsidR="00982BCB" w:rsidRPr="00616A70">
              <w:rPr>
                <w:noProof/>
                <w:webHidden/>
                <w:sz w:val="22"/>
                <w:szCs w:val="22"/>
              </w:rPr>
              <w:t>17</w:t>
            </w:r>
            <w:r w:rsidRPr="00616A70">
              <w:rPr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193C41" w:rsidRPr="00616A70" w:rsidRDefault="0086584F" w:rsidP="00982BCB">
          <w:pPr>
            <w:tabs>
              <w:tab w:val="left" w:pos="851"/>
            </w:tabs>
            <w:ind w:left="284"/>
            <w:rPr>
              <w:rFonts w:cs="Tahoma"/>
              <w:szCs w:val="22"/>
            </w:rPr>
          </w:pPr>
          <w:r w:rsidRPr="00616A70">
            <w:rPr>
              <w:rFonts w:cs="Tahoma"/>
              <w:szCs w:val="22"/>
            </w:rPr>
            <w:fldChar w:fldCharType="end"/>
          </w:r>
        </w:p>
      </w:sdtContent>
    </w:sdt>
    <w:p w:rsidR="00193C41" w:rsidRPr="00616A70" w:rsidRDefault="00193C41" w:rsidP="00B44DCA">
      <w:pPr>
        <w:rPr>
          <w:rFonts w:cs="Tahoma"/>
        </w:rPr>
      </w:pPr>
      <w:r w:rsidRPr="00616A70">
        <w:rPr>
          <w:rFonts w:cs="Tahoma"/>
        </w:rPr>
        <w:br w:type="page"/>
      </w:r>
    </w:p>
    <w:p w:rsidR="00193C41" w:rsidRPr="00616A70" w:rsidRDefault="00095872" w:rsidP="00095872">
      <w:pPr>
        <w:pStyle w:val="Nagwekspisutreci"/>
        <w:numPr>
          <w:ilvl w:val="0"/>
          <w:numId w:val="9"/>
        </w:numPr>
        <w:spacing w:before="0" w:line="360" w:lineRule="auto"/>
        <w:ind w:left="709"/>
        <w:jc w:val="left"/>
        <w:rPr>
          <w:rFonts w:ascii="Tahoma" w:hAnsi="Tahoma" w:cs="Tahoma"/>
          <w:color w:val="auto"/>
          <w:sz w:val="22"/>
          <w:szCs w:val="22"/>
        </w:rPr>
      </w:pPr>
      <w:bookmarkStart w:id="0" w:name="_Toc171518356"/>
      <w:r w:rsidRPr="00616A70">
        <w:rPr>
          <w:rFonts w:ascii="Tahoma" w:hAnsi="Tahoma" w:cs="Tahoma"/>
          <w:color w:val="auto"/>
          <w:sz w:val="22"/>
          <w:szCs w:val="22"/>
        </w:rPr>
        <w:lastRenderedPageBreak/>
        <w:t>PODSTAWA PRAWNA</w:t>
      </w:r>
      <w:bookmarkEnd w:id="0"/>
      <w:r w:rsidRPr="00616A70">
        <w:rPr>
          <w:rFonts w:ascii="Tahoma" w:hAnsi="Tahoma" w:cs="Tahoma"/>
          <w:color w:val="auto"/>
          <w:sz w:val="22"/>
          <w:szCs w:val="22"/>
        </w:rPr>
        <w:t xml:space="preserve"> 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Ustawa z dnia 7 lipca 1994 Prawo budowlane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Nr 89, poz. 414), tekst jednolity z dnia 7 lipca 2020 r.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2020 poz. 1333).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Ustawa z dnia z dnia 29 stycznia 2004 r. Prawo zamówień publicznych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Nr 19, poz. 177) tekst jednolity z 27 września 2019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2019 poz. 1843).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Ustawa z dnia 16 kwietnia 2004 r. o wyrobach budowlanych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Nr 92, poz. 881) z późniejszymi zmianami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 xml:space="preserve">Ustawa z dnia 10 kwietnia 1997 r. Prawo energetyczne 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Nr 54, poz. 348) z późniejszymi zmianami.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Ustawa z dnia 20 czerwca 1997 r. Prawo o ruchu drogowym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Nr 98, poz. 602) tekst jednolity z dnia 24 stycznia 2020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2020 poz. 110)</w:t>
      </w:r>
    </w:p>
    <w:p w:rsidR="007E02FE" w:rsidRPr="00616A70" w:rsidRDefault="007E02FE" w:rsidP="007E02FE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 xml:space="preserve">Ustawa z dnia 2 grudnia 2021 r. o zmianie ustawy o </w:t>
      </w:r>
      <w:proofErr w:type="spellStart"/>
      <w:r w:rsidRPr="00616A70">
        <w:rPr>
          <w:rFonts w:cs="Tahoma"/>
        </w:rPr>
        <w:t>elektromobilności</w:t>
      </w:r>
      <w:proofErr w:type="spellEnd"/>
      <w:r w:rsidRPr="00616A70">
        <w:rPr>
          <w:rFonts w:cs="Tahoma"/>
        </w:rPr>
        <w:t xml:space="preserve"> i paliwach alternatywnych oraz niektórych innych ustaw (Dz. U. z 2021 r. poz. 2269)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Rozporządzenia Ministra Transportu, Budownictwa i Gospodarki Morskiej z dnia 25 kwietnia 2012 r. w sprawie szczegółowego zakresu i formy projektu budowlanego.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Rozporządzenie Ministra Infrastruktury z dnia 2 września 2004 r. w sprawie szczegółowego zakresu i formy dokumentacji projektowej, specyfikacji technicznych wykonania i odbioru robót budowlanych oraz programu funkcjonalno – użytkowego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Nr 202, poz. 2072) tekst jednolity z 10 maja 2013 r.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 xml:space="preserve">. z 2013 r. </w:t>
      </w:r>
      <w:proofErr w:type="spellStart"/>
      <w:r w:rsidRPr="00616A70">
        <w:rPr>
          <w:rFonts w:cs="Tahoma"/>
        </w:rPr>
        <w:t>poz</w:t>
      </w:r>
      <w:proofErr w:type="spellEnd"/>
      <w:r w:rsidRPr="00616A70">
        <w:rPr>
          <w:rFonts w:cs="Tahoma"/>
        </w:rPr>
        <w:t xml:space="preserve"> 1129).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Rozporządzenie Ministra Infrastruktury z dnia 18 maja 2004r. w sprawie określenia metod i podstaw sporządzania kosztorysu inwestorskiego, obliczania planowanych kosztów prac projektowych oraz planowanych kosztów robót budowlanych określonych w programie funkcjonalno – użytkowym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 xml:space="preserve">. nr 130, poz. 1389 z </w:t>
      </w:r>
      <w:proofErr w:type="spellStart"/>
      <w:r w:rsidRPr="00616A70">
        <w:rPr>
          <w:rFonts w:cs="Tahoma"/>
        </w:rPr>
        <w:t>późn</w:t>
      </w:r>
      <w:proofErr w:type="spellEnd"/>
      <w:r w:rsidRPr="00616A70">
        <w:rPr>
          <w:rFonts w:cs="Tahoma"/>
        </w:rPr>
        <w:t>. zm.).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Rozporządzenie Ministra Infrastruktury z dnia 23 czerwca 2003 r. w sprawie informacji dotyczącej bezpieczeństwa i ochrony zdrowia oraz planu bezpieczeństwa i ochrony zdrowia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 xml:space="preserve">. Nr 120, </w:t>
      </w:r>
      <w:proofErr w:type="spellStart"/>
      <w:r w:rsidRPr="00616A70">
        <w:rPr>
          <w:rFonts w:cs="Tahoma"/>
        </w:rPr>
        <w:t>poz</w:t>
      </w:r>
      <w:proofErr w:type="spellEnd"/>
      <w:r w:rsidRPr="00616A70">
        <w:rPr>
          <w:rFonts w:cs="Tahoma"/>
        </w:rPr>
        <w:t xml:space="preserve"> 1126).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Rozporządzenie Ministra Gospodarki w sprawie bezpieczeństwa i higieny pracy przy urządzeniach i instalacjach energetycznych z dnia 28 marca 2013 r.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z 2013 r., poz. 492).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Rozporządzenie Ministra Transportu i Gospodarki Morskiej z dnia 21 lutego 1995 r. w sprawie warunków technicznych jakim powinny odpowiadać drogi publiczne i ich usytuowanie (</w:t>
      </w:r>
      <w:proofErr w:type="spellStart"/>
      <w:r w:rsidRPr="00616A70">
        <w:rPr>
          <w:rFonts w:cs="Tahoma"/>
        </w:rPr>
        <w:t>Dz.U</w:t>
      </w:r>
      <w:proofErr w:type="spellEnd"/>
      <w:r w:rsidRPr="00616A70">
        <w:rPr>
          <w:rFonts w:cs="Tahoma"/>
        </w:rPr>
        <w:t>. Nr 43, poz. 430).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lastRenderedPageBreak/>
        <w:t>Dz.U.72.13.93 w sprawie bezpieczeństwa i higieny pracy przy wykonywaniu robót budowlano - montażowych i rozbiórkowych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Dz.U.98.21.1439 w sprawie ogłoszenia jednolitego tekstu ustawy Kodeks Pracy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Dz.U.99.80.912 w sprawie BHP przy urządzeniach i instalacjach energetycznych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Dz.U.00.26.313 w sprawie BHP przy ręcznych pracach transportowych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 xml:space="preserve">N SEP-E-003. Elektroenergetyczne linie napowietrzne. Projektowanie i budowa. Linie prądu przemiennego z przewodami </w:t>
      </w:r>
      <w:proofErr w:type="spellStart"/>
      <w:r w:rsidRPr="00616A70">
        <w:rPr>
          <w:rFonts w:cs="Tahoma"/>
        </w:rPr>
        <w:t>pełnoizolowanymi</w:t>
      </w:r>
      <w:proofErr w:type="spellEnd"/>
      <w:r w:rsidRPr="00616A70">
        <w:rPr>
          <w:rFonts w:cs="Tahoma"/>
        </w:rPr>
        <w:t xml:space="preserve"> oraz z przewodami </w:t>
      </w:r>
      <w:proofErr w:type="spellStart"/>
      <w:r w:rsidRPr="00616A70">
        <w:rPr>
          <w:rFonts w:cs="Tahoma"/>
        </w:rPr>
        <w:t>niepełnoizolowanymi</w:t>
      </w:r>
      <w:proofErr w:type="spellEnd"/>
      <w:r w:rsidRPr="00616A70">
        <w:rPr>
          <w:rFonts w:cs="Tahoma"/>
        </w:rPr>
        <w:t>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N SEP-E-004 Elektroenergetyczne i sygnalizacyjne linie kablowe Projektowanie i budowa.</w:t>
      </w:r>
    </w:p>
    <w:p w:rsidR="00193C41" w:rsidRPr="00616A70" w:rsidRDefault="00193C41" w:rsidP="00B44DCA">
      <w:pPr>
        <w:pStyle w:val="Akapitzlist"/>
        <w:numPr>
          <w:ilvl w:val="0"/>
          <w:numId w:val="6"/>
        </w:numPr>
        <w:rPr>
          <w:rFonts w:cs="Tahoma"/>
        </w:rPr>
      </w:pPr>
      <w:r w:rsidRPr="00616A70">
        <w:rPr>
          <w:rFonts w:cs="Tahoma"/>
        </w:rPr>
        <w:t>PN-EN 13201:2016 – Oświetlenie dróg</w:t>
      </w:r>
    </w:p>
    <w:p w:rsidR="00193C41" w:rsidRPr="00616A70" w:rsidRDefault="00193C41" w:rsidP="00B44DCA">
      <w:pPr>
        <w:rPr>
          <w:rFonts w:cs="Tahoma"/>
        </w:rPr>
      </w:pPr>
    </w:p>
    <w:p w:rsidR="00193C41" w:rsidRPr="00616A70" w:rsidRDefault="00095872" w:rsidP="00095872">
      <w:pPr>
        <w:pStyle w:val="Nagwekspisutreci"/>
        <w:numPr>
          <w:ilvl w:val="0"/>
          <w:numId w:val="9"/>
        </w:numPr>
        <w:spacing w:before="0" w:line="360" w:lineRule="auto"/>
        <w:ind w:left="426" w:hanging="426"/>
        <w:rPr>
          <w:rFonts w:ascii="Tahoma" w:hAnsi="Tahoma" w:cs="Tahoma"/>
          <w:color w:val="auto"/>
          <w:sz w:val="22"/>
          <w:szCs w:val="22"/>
        </w:rPr>
      </w:pPr>
      <w:bookmarkStart w:id="1" w:name="_Toc171518357"/>
      <w:r w:rsidRPr="00616A70">
        <w:rPr>
          <w:rFonts w:ascii="Tahoma" w:hAnsi="Tahoma" w:cs="Tahoma"/>
          <w:color w:val="auto"/>
          <w:sz w:val="22"/>
          <w:szCs w:val="22"/>
        </w:rPr>
        <w:t>PRZEDMIOT ZAMÓWIENIA</w:t>
      </w:r>
      <w:bookmarkEnd w:id="1"/>
    </w:p>
    <w:p w:rsidR="00193C41" w:rsidRPr="00616A70" w:rsidRDefault="00095872" w:rsidP="00095872">
      <w:pPr>
        <w:pStyle w:val="Nagwekspisutreci"/>
        <w:numPr>
          <w:ilvl w:val="0"/>
          <w:numId w:val="2"/>
        </w:numPr>
        <w:spacing w:before="0" w:line="360" w:lineRule="auto"/>
        <w:ind w:left="426" w:hanging="426"/>
        <w:rPr>
          <w:rFonts w:ascii="Tahoma" w:hAnsi="Tahoma" w:cs="Tahoma"/>
          <w:color w:val="auto"/>
          <w:sz w:val="22"/>
          <w:szCs w:val="22"/>
        </w:rPr>
      </w:pPr>
      <w:bookmarkStart w:id="2" w:name="_Toc171518358"/>
      <w:r w:rsidRPr="00616A70">
        <w:rPr>
          <w:rFonts w:ascii="Tahoma" w:hAnsi="Tahoma" w:cs="Tahoma"/>
          <w:color w:val="auto"/>
          <w:sz w:val="22"/>
        </w:rPr>
        <w:t>OPIS PRZEDMIOTU ZAMÓWIENIA</w:t>
      </w:r>
      <w:bookmarkEnd w:id="2"/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bookmarkStart w:id="3" w:name="_Hlk175167811"/>
      <w:r w:rsidRPr="00616A70">
        <w:rPr>
          <w:rFonts w:cs="Tahoma"/>
        </w:rPr>
        <w:t>Przedmiot zamówienia obejmuje dostawę i usługę wymiany oświetlenia drogowego w ramach zadania „</w:t>
      </w:r>
      <w:r w:rsidRPr="00616A70">
        <w:rPr>
          <w:rFonts w:cs="Tahoma"/>
          <w:i/>
        </w:rPr>
        <w:t>Modernizacja oświetlenia drogowego na terenie gminy Sobótka</w:t>
      </w:r>
      <w:r w:rsidRPr="00616A70">
        <w:rPr>
          <w:rFonts w:cs="Tahoma"/>
        </w:rPr>
        <w:t>”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Modernizacja polega na wymianie opraw starego typu na nowoczesne energooszczędne oprawy LED terenie Gminy Sobótka zgodnie z załączoną dokumentacją techniczną oraz zestawieniem parametrów techniczno-użytkowych.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 xml:space="preserve">Wymiana </w:t>
      </w:r>
      <w:r w:rsidR="00095872" w:rsidRPr="00616A70">
        <w:rPr>
          <w:rFonts w:cs="Tahoma"/>
        </w:rPr>
        <w:t>uwzględnia</w:t>
      </w:r>
      <w:r w:rsidRPr="00616A70">
        <w:rPr>
          <w:rFonts w:cs="Tahoma"/>
        </w:rPr>
        <w:t xml:space="preserve"> demontaż istniejących opraw oraz montaż nowych opraw LED.</w:t>
      </w:r>
    </w:p>
    <w:p w:rsidR="00095872" w:rsidRPr="00616A70" w:rsidRDefault="00095872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Szczegółowy opis przedmiotu zamówienia znajduje się w</w:t>
      </w:r>
      <w:r w:rsidR="007E02FE" w:rsidRPr="00616A70">
        <w:rPr>
          <w:rFonts w:cs="Tahoma"/>
        </w:rPr>
        <w:t xml:space="preserve"> dokumentacji technicznej stanowiącej</w:t>
      </w:r>
      <w:r w:rsidRPr="00616A70">
        <w:rPr>
          <w:rFonts w:cs="Tahoma"/>
        </w:rPr>
        <w:t xml:space="preserve"> załącznik nr 1 do SWZ w skład, którego wchodzi:</w:t>
      </w:r>
    </w:p>
    <w:p w:rsidR="00095872" w:rsidRPr="00616A70" w:rsidRDefault="00095872" w:rsidP="00095872">
      <w:pPr>
        <w:pStyle w:val="Akapitzlist"/>
        <w:numPr>
          <w:ilvl w:val="3"/>
          <w:numId w:val="2"/>
        </w:numPr>
        <w:ind w:left="1276" w:hanging="283"/>
        <w:rPr>
          <w:rFonts w:cs="Tahoma"/>
        </w:rPr>
      </w:pPr>
      <w:r w:rsidRPr="00616A70">
        <w:rPr>
          <w:rFonts w:cs="Tahoma"/>
        </w:rPr>
        <w:t>Dokument audytu efektywności energetycznej oświetlenia ulicznego na terenie Gminy Sobótka;</w:t>
      </w:r>
    </w:p>
    <w:p w:rsidR="00095872" w:rsidRPr="00616A70" w:rsidRDefault="00095872" w:rsidP="00095872">
      <w:pPr>
        <w:pStyle w:val="Akapitzlist"/>
        <w:numPr>
          <w:ilvl w:val="3"/>
          <w:numId w:val="2"/>
        </w:numPr>
        <w:ind w:left="1276" w:hanging="283"/>
        <w:rPr>
          <w:rFonts w:cs="Tahoma"/>
        </w:rPr>
      </w:pPr>
      <w:r w:rsidRPr="00616A70">
        <w:rPr>
          <w:rFonts w:cs="Tahoma"/>
        </w:rPr>
        <w:t>Obliczenia fotometryczne;</w:t>
      </w:r>
    </w:p>
    <w:p w:rsidR="00095872" w:rsidRPr="00616A70" w:rsidRDefault="00095872" w:rsidP="00095872">
      <w:pPr>
        <w:pStyle w:val="Akapitzlist"/>
        <w:numPr>
          <w:ilvl w:val="3"/>
          <w:numId w:val="2"/>
        </w:numPr>
        <w:ind w:left="1276" w:hanging="283"/>
        <w:rPr>
          <w:rFonts w:cs="Tahoma"/>
        </w:rPr>
      </w:pPr>
      <w:r w:rsidRPr="00616A70">
        <w:rPr>
          <w:rFonts w:cs="Tahoma"/>
        </w:rPr>
        <w:t>Szczegółowy wykaz lokalizacji i opraw</w:t>
      </w:r>
    </w:p>
    <w:p w:rsidR="00193C41" w:rsidRPr="00616A70" w:rsidRDefault="00193C41" w:rsidP="00B44DCA">
      <w:pPr>
        <w:ind w:left="-11"/>
        <w:rPr>
          <w:rFonts w:cs="Tahoma"/>
        </w:rPr>
      </w:pPr>
    </w:p>
    <w:p w:rsidR="00193C41" w:rsidRPr="00616A70" w:rsidRDefault="00095872" w:rsidP="00095872">
      <w:pPr>
        <w:pStyle w:val="Nagwekspisutreci"/>
        <w:numPr>
          <w:ilvl w:val="0"/>
          <w:numId w:val="2"/>
        </w:numPr>
        <w:spacing w:before="0" w:line="360" w:lineRule="auto"/>
        <w:ind w:left="426" w:hanging="426"/>
        <w:jc w:val="left"/>
        <w:rPr>
          <w:rFonts w:ascii="Tahoma" w:hAnsi="Tahoma" w:cs="Tahoma"/>
          <w:color w:val="auto"/>
          <w:sz w:val="22"/>
        </w:rPr>
      </w:pPr>
      <w:bookmarkStart w:id="4" w:name="_Toc171518359"/>
      <w:r w:rsidRPr="00616A70">
        <w:rPr>
          <w:rFonts w:ascii="Tahoma" w:hAnsi="Tahoma" w:cs="Tahoma"/>
          <w:color w:val="auto"/>
          <w:sz w:val="22"/>
        </w:rPr>
        <w:t>ZAKRES PRZEDMIOTU ZAMÓWIENIA</w:t>
      </w:r>
      <w:bookmarkEnd w:id="4"/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Zakres przedmiotu zamówienia obejmuje wymianę wskazanych przez Zamawiającego opraw starego typu w ilości 1635 sztuk na terenie Gminy Sobótka. Dodatkowo, Zamawiający z ogólnej ilości 1635 sztuk opraw wskazał 476 sztuk opraw objętych autonomicznym sterowaniem zgodnie z załączoną dokumentacją techniczną oraz zestawieniem parametrów techniczno-użytkowych.</w:t>
      </w:r>
    </w:p>
    <w:p w:rsidR="00095872" w:rsidRPr="00616A70" w:rsidRDefault="00095872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lastRenderedPageBreak/>
        <w:t xml:space="preserve">Oświetlenie </w:t>
      </w:r>
      <w:r w:rsidR="00CA5005" w:rsidRPr="00616A70">
        <w:rPr>
          <w:rFonts w:cs="Tahoma"/>
        </w:rPr>
        <w:t>jest użytkowane przez G</w:t>
      </w:r>
      <w:r w:rsidRPr="00616A70">
        <w:rPr>
          <w:rFonts w:cs="Tahoma"/>
        </w:rPr>
        <w:t>min</w:t>
      </w:r>
      <w:r w:rsidR="00CA5005" w:rsidRPr="00616A70">
        <w:rPr>
          <w:rFonts w:cs="Tahoma"/>
        </w:rPr>
        <w:t>ę Sobótka</w:t>
      </w:r>
      <w:r w:rsidRPr="00616A70">
        <w:rPr>
          <w:rFonts w:cs="Tahoma"/>
        </w:rPr>
        <w:t xml:space="preserve"> w ramach porozumienia zawartego z</w:t>
      </w:r>
      <w:r w:rsidR="00CA5005" w:rsidRPr="00616A70">
        <w:rPr>
          <w:rFonts w:cs="Tahoma"/>
        </w:rPr>
        <w:t>e</w:t>
      </w:r>
      <w:r w:rsidRPr="00616A70">
        <w:rPr>
          <w:rFonts w:cs="Tahoma"/>
        </w:rPr>
        <w:t xml:space="preserve"> </w:t>
      </w:r>
      <w:r w:rsidR="00CA5005" w:rsidRPr="00616A70">
        <w:rPr>
          <w:rFonts w:cs="Tahoma"/>
        </w:rPr>
        <w:t xml:space="preserve">spółką </w:t>
      </w:r>
      <w:proofErr w:type="spellStart"/>
      <w:r w:rsidRPr="00616A70">
        <w:rPr>
          <w:rFonts w:cs="Tahoma"/>
        </w:rPr>
        <w:t>Tauron</w:t>
      </w:r>
      <w:proofErr w:type="spellEnd"/>
      <w:r w:rsidRPr="00616A70">
        <w:rPr>
          <w:rFonts w:cs="Tahoma"/>
        </w:rPr>
        <w:t xml:space="preserve"> Nowe Technologie S.A.</w:t>
      </w:r>
      <w:r w:rsidR="00CA5005" w:rsidRPr="00616A70">
        <w:rPr>
          <w:rFonts w:cs="Tahoma"/>
        </w:rPr>
        <w:t xml:space="preserve"> będącą właścicielem oświetlenia. Na podstawie wspominanego powyżej porozumienia Gmina Sobótka jest odpowiedzialna za </w:t>
      </w:r>
      <w:r w:rsidR="00CA5005" w:rsidRPr="00616A70">
        <w:rPr>
          <w:rFonts w:ascii="Arial" w:hAnsi="Arial" w:cs="Arial"/>
          <w:color w:val="000000" w:themeColor="text1"/>
          <w:szCs w:val="22"/>
        </w:rPr>
        <w:t xml:space="preserve">naprawy, utrzymanie, konserwację oraz remonty </w:t>
      </w:r>
      <w:r w:rsidR="007B3473" w:rsidRPr="00616A70">
        <w:rPr>
          <w:rFonts w:ascii="Arial" w:hAnsi="Arial" w:cs="Arial"/>
          <w:color w:val="000000" w:themeColor="text1"/>
          <w:szCs w:val="22"/>
        </w:rPr>
        <w:t>o</w:t>
      </w:r>
      <w:r w:rsidR="00CA5005" w:rsidRPr="00616A70">
        <w:rPr>
          <w:rFonts w:ascii="Arial" w:hAnsi="Arial" w:cs="Arial"/>
          <w:color w:val="000000" w:themeColor="text1"/>
          <w:szCs w:val="22"/>
        </w:rPr>
        <w:t>świetlenia.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Modernizacja oświetlenia objęta jest dofinansowana z Rządowego Funduszu Polski Ład: Program Inwestycji Strategicznych „Rozświetlamy Polskę”, dlatego moc oprawy nie może być większa niż w załączonej dokumentacji technicznej i zestawieniu parametrów techniczno-użytkowych. Wartość luminancji nie może być mniejsza niż w załączonej dokumentacji technicznej, obliczeniach fotometrycznych oraz zestawieniu parametrów techniczno-użytkowych. Pozostałe parametry opraw muszą być zgodne z opisem przedmiotu zamówienia.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 xml:space="preserve">Dobrane oprawy muszą posiadać certyfikaty ENEC, ENEC+, ZD4i. Wyposażone będą w gniazdo </w:t>
      </w:r>
      <w:proofErr w:type="spellStart"/>
      <w:r w:rsidRPr="00616A70">
        <w:rPr>
          <w:rFonts w:cs="Tahoma"/>
        </w:rPr>
        <w:t>Zhaga</w:t>
      </w:r>
      <w:proofErr w:type="spellEnd"/>
      <w:r w:rsidRPr="00616A70">
        <w:rPr>
          <w:rFonts w:cs="Tahoma"/>
        </w:rPr>
        <w:t xml:space="preserve"> umożliwiające włączenie oprawy do systemu inteligentnego sterowania bez dodatkowej ingerencji w oprawę w standardzie D4i. Dobrane oprawy muszą spełniać wymagania norm oświetleniowych, w tym normy PN-EN 13201.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Efektem modernizacji jest gwarancja uzyskania redukcji mocy o 50% zachowując jednocześnie wymagania norm oświetleniowych oraz parametrów techniczno-użytkowych.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Rezultatem modernizacji jest uzyskanie szacunkowego rocznego spadku emisji gazów cieplarnianych nie mniej niż 261 ton CO</w:t>
      </w:r>
      <w:r w:rsidRPr="00616A70">
        <w:rPr>
          <w:rFonts w:cs="Tahoma"/>
          <w:vertAlign w:val="subscript"/>
        </w:rPr>
        <w:t>2</w:t>
      </w:r>
      <w:r w:rsidRPr="00616A70">
        <w:rPr>
          <w:rFonts w:cs="Tahoma"/>
        </w:rPr>
        <w:t>.</w:t>
      </w:r>
    </w:p>
    <w:bookmarkEnd w:id="3"/>
    <w:p w:rsidR="00193C41" w:rsidRPr="00616A70" w:rsidRDefault="00193C41" w:rsidP="00B44DCA">
      <w:pPr>
        <w:rPr>
          <w:rFonts w:cs="Tahoma"/>
        </w:rPr>
      </w:pPr>
    </w:p>
    <w:p w:rsidR="00193C41" w:rsidRPr="00616A70" w:rsidRDefault="007E02FE" w:rsidP="00095872">
      <w:pPr>
        <w:pStyle w:val="Nagwekspisutreci"/>
        <w:numPr>
          <w:ilvl w:val="0"/>
          <w:numId w:val="2"/>
        </w:numPr>
        <w:spacing w:before="0" w:line="360" w:lineRule="auto"/>
        <w:ind w:left="426" w:hanging="426"/>
        <w:jc w:val="left"/>
        <w:rPr>
          <w:rFonts w:ascii="Tahoma" w:hAnsi="Tahoma" w:cs="Tahoma"/>
          <w:color w:val="auto"/>
          <w:sz w:val="22"/>
        </w:rPr>
      </w:pPr>
      <w:bookmarkStart w:id="5" w:name="_Toc171518360"/>
      <w:r w:rsidRPr="00616A70">
        <w:rPr>
          <w:rFonts w:ascii="Tahoma" w:hAnsi="Tahoma" w:cs="Tahoma"/>
          <w:color w:val="auto"/>
          <w:sz w:val="22"/>
        </w:rPr>
        <w:t>UWARUNKOWANIA WYKONANIA PRZEDMIOTU ZAMÓWIENIA</w:t>
      </w:r>
      <w:bookmarkEnd w:id="5"/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Uzyskanie przez Wykonawcę wszelkich potrzebnych uzgodnień i pozwoleń potrzebnych do realizacji zamówienia.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Zamawiający upoważni wskazane przez Wykonawcę osoby do występowania w jego imieniu w sprawach związanych z realizacją przed odpowiednimi organami.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Wykonawca jest zobowiązany do uzgodnienia z osobą wskazaną przez Zamawiającego wszystkich projektów oraz harmonogramu</w:t>
      </w:r>
      <w:r w:rsidR="00A50615" w:rsidRPr="00616A70">
        <w:rPr>
          <w:rFonts w:cs="Tahoma"/>
        </w:rPr>
        <w:t xml:space="preserve"> rzeczowo-finansowego</w:t>
      </w:r>
      <w:r w:rsidRPr="00616A70">
        <w:rPr>
          <w:rFonts w:cs="Tahoma"/>
        </w:rPr>
        <w:t>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 xml:space="preserve">Zakres prac oraz ilość materiałów wskazana we wcześniejszej dokumentacji są wielkościami orientacyjnymi, przyjętymi przez Zamawiającego do oszacowania wartości zamówienia. Zamawiający zaleca, aby Wykonawca dokonał wizji w terenie i zapoznał się ze stanem istniejącym. Zamawiający nie dopuszcza zmiany </w:t>
      </w:r>
      <w:r w:rsidRPr="00616A70">
        <w:rPr>
          <w:rFonts w:cs="Tahoma"/>
        </w:rPr>
        <w:lastRenderedPageBreak/>
        <w:t>ceny ofertowej w przypadku, gdy rzeczywiste wielkości wynikające z projektów będą odbiegały od przyjętych.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Wykonawca dołączy do projektów</w:t>
      </w:r>
      <w:r w:rsidR="00095872" w:rsidRPr="00616A70">
        <w:rPr>
          <w:rFonts w:cs="Tahoma"/>
        </w:rPr>
        <w:t xml:space="preserve"> powykonawczych</w:t>
      </w:r>
      <w:r w:rsidRPr="00616A70">
        <w:rPr>
          <w:rFonts w:cs="Tahoma"/>
        </w:rPr>
        <w:t xml:space="preserve"> oświadczenie, że </w:t>
      </w:r>
      <w:r w:rsidR="00095872" w:rsidRPr="00616A70">
        <w:rPr>
          <w:rFonts w:cs="Tahoma"/>
        </w:rPr>
        <w:t>są</w:t>
      </w:r>
      <w:r w:rsidRPr="00616A70">
        <w:rPr>
          <w:rFonts w:cs="Tahoma"/>
        </w:rPr>
        <w:t xml:space="preserve"> on</w:t>
      </w:r>
      <w:r w:rsidR="00095872" w:rsidRPr="00616A70">
        <w:rPr>
          <w:rFonts w:cs="Tahoma"/>
        </w:rPr>
        <w:t>e</w:t>
      </w:r>
      <w:r w:rsidRPr="00616A70">
        <w:rPr>
          <w:rFonts w:cs="Tahoma"/>
        </w:rPr>
        <w:t xml:space="preserve"> wykonan</w:t>
      </w:r>
      <w:r w:rsidR="00095872" w:rsidRPr="00616A70">
        <w:rPr>
          <w:rFonts w:cs="Tahoma"/>
        </w:rPr>
        <w:t xml:space="preserve">e </w:t>
      </w:r>
      <w:r w:rsidRPr="00616A70">
        <w:rPr>
          <w:rFonts w:cs="Tahoma"/>
        </w:rPr>
        <w:t xml:space="preserve">zgodnie z umową, obowiązującymi przepisami, normami i wytycznymi oraz że </w:t>
      </w:r>
      <w:r w:rsidR="00095872" w:rsidRPr="00616A70">
        <w:rPr>
          <w:rFonts w:cs="Tahoma"/>
        </w:rPr>
        <w:t xml:space="preserve">są </w:t>
      </w:r>
      <w:r w:rsidRPr="00616A70">
        <w:rPr>
          <w:rFonts w:cs="Tahoma"/>
        </w:rPr>
        <w:t>on</w:t>
      </w:r>
      <w:r w:rsidR="00095872" w:rsidRPr="00616A70">
        <w:rPr>
          <w:rFonts w:cs="Tahoma"/>
        </w:rPr>
        <w:t>e</w:t>
      </w:r>
      <w:r w:rsidRPr="00616A70">
        <w:rPr>
          <w:rFonts w:cs="Tahoma"/>
        </w:rPr>
        <w:t xml:space="preserve"> kompletn</w:t>
      </w:r>
      <w:r w:rsidR="00095872" w:rsidRPr="00616A70">
        <w:rPr>
          <w:rFonts w:cs="Tahoma"/>
        </w:rPr>
        <w:t>e</w:t>
      </w:r>
      <w:r w:rsidRPr="00616A70">
        <w:rPr>
          <w:rFonts w:cs="Tahoma"/>
        </w:rPr>
        <w:t xml:space="preserve"> z punktu widzenia celu, któremu ma</w:t>
      </w:r>
      <w:r w:rsidR="00095872" w:rsidRPr="00616A70">
        <w:rPr>
          <w:rFonts w:cs="Tahoma"/>
        </w:rPr>
        <w:t>ją</w:t>
      </w:r>
      <w:r w:rsidRPr="00616A70">
        <w:rPr>
          <w:rFonts w:cs="Tahoma"/>
        </w:rPr>
        <w:t xml:space="preserve"> służyć.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Wykonawca będzie zobowiązany zapewnić osobom upoważnionym przez Zamawiającego dostępu na teren budowy.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 xml:space="preserve">Wykonawca przed przystąpieniem do robót przedstawi dla Zamawiającego przygotowany harmonogram </w:t>
      </w:r>
      <w:r w:rsidR="00A50615" w:rsidRPr="00616A70">
        <w:rPr>
          <w:rFonts w:cs="Tahoma"/>
        </w:rPr>
        <w:t>rzeczowo-finansowy</w:t>
      </w:r>
      <w:r w:rsidRPr="00616A70">
        <w:rPr>
          <w:rFonts w:cs="Tahoma"/>
        </w:rPr>
        <w:t>, celem zachowania ciągłości komunikacji i przejezdności dróg.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Oferta złożona przez wykonawcę musi zawierać wycenę wszystkich kosztów związanych z realizacją zadania. Zamawiający nie przewiduje przeprowadzania prac dodatkowych.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W miejscach prowadzenia robót teren przywrócić do stanu poprzedniego, nawierzchnie rozbieralne, odtwarzać z wykorzystaniem materiału z rozbiórki, elementy uszkodzone lub zniszczone wymienić na nowe. Trawniki i zieleńce uzupełnić humusem i obsiać trawą.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Wszystkie materiały i urządzenia zastosowane do realizacji rob</w:t>
      </w:r>
      <w:r w:rsidR="00A50615" w:rsidRPr="00616A70">
        <w:rPr>
          <w:rFonts w:cs="Tahoma"/>
        </w:rPr>
        <w:t>ót</w:t>
      </w:r>
      <w:r w:rsidRPr="00616A70">
        <w:rPr>
          <w:rFonts w:cs="Tahoma"/>
        </w:rPr>
        <w:t xml:space="preserve"> zaprojektowanych instalacji oświetleniowych muszą być fabrycznie nowe oraz spełniać wymogi Ustawy z dnia 16 kwietnia 2004 r. o wyrobach budowlanych.</w:t>
      </w:r>
    </w:p>
    <w:p w:rsidR="00193C41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 xml:space="preserve">Wszystkie urządzenia muszą posiadać znak bezpieczeństwa CE oraz spełniać wymagania obowiązujących norm i przepisów, w szczególności wymagania w zakresie ochrony przeciwporażeniowej. </w:t>
      </w:r>
    </w:p>
    <w:p w:rsidR="00193C41" w:rsidRPr="00616A70" w:rsidRDefault="00193C41" w:rsidP="00B44DCA">
      <w:pPr>
        <w:rPr>
          <w:rFonts w:cs="Tahoma"/>
        </w:rPr>
      </w:pPr>
    </w:p>
    <w:p w:rsidR="00B44DCA" w:rsidRPr="00616A70" w:rsidRDefault="007E02FE" w:rsidP="00095872">
      <w:pPr>
        <w:pStyle w:val="Nagwekspisutreci"/>
        <w:numPr>
          <w:ilvl w:val="0"/>
          <w:numId w:val="2"/>
        </w:numPr>
        <w:spacing w:before="0" w:line="360" w:lineRule="auto"/>
        <w:ind w:left="426" w:hanging="426"/>
        <w:rPr>
          <w:rFonts w:ascii="Tahoma" w:hAnsi="Tahoma" w:cs="Tahoma"/>
          <w:color w:val="auto"/>
          <w:sz w:val="22"/>
        </w:rPr>
      </w:pPr>
      <w:bookmarkStart w:id="6" w:name="_Toc171518361"/>
      <w:r w:rsidRPr="00616A70">
        <w:rPr>
          <w:rFonts w:ascii="Tahoma" w:hAnsi="Tahoma" w:cs="Tahoma"/>
          <w:color w:val="auto"/>
          <w:sz w:val="22"/>
        </w:rPr>
        <w:t>UWARUNKOWANIA WYMIANY ISTNIEJĄCYCH OPRAW</w:t>
      </w:r>
      <w:bookmarkEnd w:id="6"/>
    </w:p>
    <w:p w:rsidR="00B44DCA" w:rsidRPr="00616A70" w:rsidRDefault="00B44DCA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Demontaż oraz utylizacja starych opraw oświetleniowych zgodnie z obowiązującym prawem w tym zakresie.</w:t>
      </w:r>
    </w:p>
    <w:p w:rsidR="00B44DCA" w:rsidRPr="00616A70" w:rsidRDefault="00B44DCA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Zamawiający zachowuje sobie prawo do wskazania części opraw w celu zdeponowania ich w określonym przez Zamawiającego miejscu, do zabezpieczenia innych potrzeb Zamawiającego. Łączna ilość opraw przewidzianych do demontażu wynosi 1635 sztuk.</w:t>
      </w:r>
    </w:p>
    <w:p w:rsidR="00B44DCA" w:rsidRPr="00616A70" w:rsidRDefault="00B44DCA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Montaż nowych opraw LED na słupach w ilości 1635 sztuk według klas dróg określonych w dokumentacji technicznej stanowiącej załącznik do zamówienia, zgodnie z wytycznymi dla opraw oświetleniowych LED.</w:t>
      </w:r>
    </w:p>
    <w:p w:rsidR="00B44DCA" w:rsidRPr="00616A70" w:rsidRDefault="00B44DCA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lastRenderedPageBreak/>
        <w:t>Wykonanie projektów czasowej organizacji ruchu wraz z jej wprowadzeniem – jeśli wymagane. Wykonaniu dokumentacji powykonawczej zgodnie z zapisami umowy.</w:t>
      </w:r>
    </w:p>
    <w:p w:rsidR="00B44DCA" w:rsidRPr="00616A70" w:rsidRDefault="00B44DCA" w:rsidP="00B44DCA">
      <w:pPr>
        <w:rPr>
          <w:rFonts w:cs="Tahoma"/>
        </w:rPr>
      </w:pPr>
    </w:p>
    <w:p w:rsidR="00193C41" w:rsidRPr="00616A70" w:rsidRDefault="007E02FE" w:rsidP="00095872">
      <w:pPr>
        <w:pStyle w:val="Nagwekspisutreci"/>
        <w:numPr>
          <w:ilvl w:val="0"/>
          <w:numId w:val="2"/>
        </w:numPr>
        <w:spacing w:before="0" w:line="360" w:lineRule="auto"/>
        <w:ind w:left="426" w:hanging="426"/>
        <w:rPr>
          <w:rFonts w:ascii="Tahoma" w:hAnsi="Tahoma" w:cs="Tahoma"/>
          <w:color w:val="auto"/>
          <w:sz w:val="22"/>
        </w:rPr>
      </w:pPr>
      <w:bookmarkStart w:id="7" w:name="_Toc171518362"/>
      <w:r w:rsidRPr="00616A70">
        <w:rPr>
          <w:rFonts w:ascii="Tahoma" w:hAnsi="Tahoma" w:cs="Tahoma"/>
          <w:color w:val="auto"/>
          <w:sz w:val="22"/>
        </w:rPr>
        <w:t>UWAGI DOTYCZĄCE WYKONANIA ROBÓT</w:t>
      </w:r>
      <w:bookmarkEnd w:id="7"/>
    </w:p>
    <w:p w:rsidR="00B44DCA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Zamawiający nie posiada obecnie niezbędnych uzgodnień z właścicielami sieci znajdującymi się w pasach dróg na terenie Gminy. Wszelkie prace w sąsiedztwie sieci należy wykonać zgodnie z uzyskanymi uzgodnieniami. W przypadku wystąpienia awarii spowodowanej pracami ziemnymi wszelkie koszty naprawcze i odszkodowawcze ponosi Wykonawca</w:t>
      </w:r>
      <w:r w:rsidR="00B44DCA" w:rsidRPr="00616A70">
        <w:rPr>
          <w:rFonts w:cs="Tahoma"/>
        </w:rPr>
        <w:t>.</w:t>
      </w:r>
    </w:p>
    <w:p w:rsidR="00B44DCA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Wykonawca składając ofertę ma obowiązek dokonać wyceny wszystkich robót oraz nakładów koniecznych dla wykonania robót zgodnie z zamówieniem.</w:t>
      </w:r>
    </w:p>
    <w:p w:rsidR="00B44DCA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 xml:space="preserve">Wykonawca składając ofertę jednocześnie oświadcza, że zapoznał się z zakresem prac oraz nie wnosi żadnych uwag. Wszystkie pytania należy zadać zamawiającemu na etapie </w:t>
      </w:r>
      <w:proofErr w:type="spellStart"/>
      <w:r w:rsidRPr="00616A70">
        <w:rPr>
          <w:rFonts w:cs="Tahoma"/>
        </w:rPr>
        <w:t>postepowania</w:t>
      </w:r>
      <w:proofErr w:type="spellEnd"/>
      <w:r w:rsidRPr="00616A70">
        <w:rPr>
          <w:rFonts w:cs="Tahoma"/>
        </w:rPr>
        <w:t xml:space="preserve"> przetargowego.</w:t>
      </w:r>
    </w:p>
    <w:p w:rsidR="00B44DCA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Po stronie Wykonawcy leży wykonanie dokumentacji powykonawczej wraz z wszelkimi niezbędnymi opracowaniami i uzgodnieniami oraz pomiarami.</w:t>
      </w:r>
    </w:p>
    <w:p w:rsidR="00B44DCA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Zamawiający dopuszcza zastosowanie przez Wykonawcę rozwiązań równoważnych w stosunku do opisanych przez Zamawiającego, pod warunkiem, że będą one posiadały nie gorsze parametry techniczne i funkcjonalne i nie obniżą standardów określonych w dokumentacji</w:t>
      </w:r>
      <w:r w:rsidR="00B44DCA" w:rsidRPr="00616A70">
        <w:rPr>
          <w:rFonts w:cs="Tahoma"/>
        </w:rPr>
        <w:t xml:space="preserve"> technicznej oraz zestawieniu parametrów techniczno-użytkowych</w:t>
      </w:r>
      <w:r w:rsidRPr="00616A70">
        <w:rPr>
          <w:rFonts w:cs="Tahoma"/>
        </w:rPr>
        <w:t>. Zaoferowane rozwiązanie równoważne nie może powodować konieczności przeprojektowywania dokumentacji.</w:t>
      </w:r>
    </w:p>
    <w:p w:rsidR="00B44DCA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W przypadku, gdy Wykonawca zaoferuje urządzenia, instalacje, materiały oraz inne elementy jako równoważne, zobowiązany jest do złożenia stosownych dokumentów, uwiarygodniających te materiały lub urządzenia. Treść tych dokumentów powinna być na tyle szczegółowa i jednoznaczna, aby Zamawiający przy ich ocenie mógł ocenić spełnienie wymagań dotyczących ich parametrów oraz rozstrzygnąć, czy zaproponowane rozwiązania są równoważne. Oznacza to, że</w:t>
      </w:r>
      <w:r w:rsidR="00B44DCA" w:rsidRPr="00616A70">
        <w:rPr>
          <w:rFonts w:cs="Tahoma"/>
        </w:rPr>
        <w:t xml:space="preserve"> </w:t>
      </w:r>
      <w:r w:rsidRPr="00616A70">
        <w:rPr>
          <w:rFonts w:cs="Tahoma"/>
        </w:rPr>
        <w:t>na Wykonawcy spoczywa obowiązek wykazania, że zaoferowane przez niego rozwiązania są</w:t>
      </w:r>
      <w:r w:rsidR="00B44DCA" w:rsidRPr="00616A70">
        <w:rPr>
          <w:rFonts w:cs="Tahoma"/>
        </w:rPr>
        <w:t xml:space="preserve"> </w:t>
      </w:r>
      <w:r w:rsidRPr="00616A70">
        <w:rPr>
          <w:rFonts w:cs="Tahoma"/>
        </w:rPr>
        <w:t>równoważne w stosunku do opisanych przez Zamawiającego.</w:t>
      </w:r>
    </w:p>
    <w:p w:rsidR="00B44DCA" w:rsidRPr="00616A70" w:rsidRDefault="00193C41" w:rsidP="00095872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Materiały zastosowane przez Wykonawcę przy wykonywaniu robót muszą być nowe i nieużywane, odpowiadać wymaganiom obowiązujących norm i przepisów, posiadać wymagane polskimi przepisami atesty i certyfikaty, w tym również świadectwa dopuszczenia do obrotu oraz certyfikaty bezpieczeństwa i karty katalogowe.</w:t>
      </w:r>
    </w:p>
    <w:p w:rsidR="007E02FE" w:rsidRPr="00616A70" w:rsidRDefault="007E02FE" w:rsidP="007E02FE">
      <w:pPr>
        <w:rPr>
          <w:rFonts w:cs="Tahoma"/>
        </w:rPr>
      </w:pPr>
    </w:p>
    <w:p w:rsidR="00095872" w:rsidRPr="00616A70" w:rsidRDefault="007E02FE" w:rsidP="007E02FE">
      <w:pPr>
        <w:pStyle w:val="Nagwekspisutreci"/>
        <w:numPr>
          <w:ilvl w:val="0"/>
          <w:numId w:val="2"/>
        </w:numPr>
        <w:spacing w:before="0" w:line="360" w:lineRule="auto"/>
        <w:ind w:left="426" w:hanging="426"/>
        <w:rPr>
          <w:rFonts w:ascii="Tahoma" w:hAnsi="Tahoma" w:cs="Tahoma"/>
          <w:color w:val="auto"/>
          <w:sz w:val="22"/>
        </w:rPr>
      </w:pPr>
      <w:bookmarkStart w:id="8" w:name="_Toc171518363"/>
      <w:r w:rsidRPr="00616A70">
        <w:rPr>
          <w:rFonts w:ascii="Tahoma" w:hAnsi="Tahoma" w:cs="Tahoma"/>
          <w:color w:val="auto"/>
          <w:sz w:val="22"/>
        </w:rPr>
        <w:t>UWARUNKOWANIA W ZAKRESIE PARAMETRÓW OPRAW I SYSTEMU STEROWANIA UŻYTYCH DO MODERNIZACJI</w:t>
      </w:r>
      <w:bookmarkEnd w:id="8"/>
    </w:p>
    <w:p w:rsidR="007E02FE" w:rsidRPr="00616A70" w:rsidRDefault="007E02FE" w:rsidP="007E02FE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Oprawy drogowe powinny posiadać minimum następuję parametry: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Uchwyt montażowy aluminiowy ø60 mm do montażu bezpośrednio na słupie;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Możliwość regulacji położenia oprawy na wysięgniku w zakresie -25 do +15;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Blokada uniemożliwiającą samoczynne zamknięcie oprawy w czasie prac montażowo – konserwacyjnych;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Moc oprawy nie wyższa niż w szczegółowym wykazie lokalizacji i opraw;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Strumień oprawy nie niższy niż w szczegółowym wykazie lokalizacji i opraw;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Temperatura barwowa 3000K;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proofErr w:type="spellStart"/>
      <w:r w:rsidRPr="00616A70">
        <w:t>Beznarzędziowy</w:t>
      </w:r>
      <w:proofErr w:type="spellEnd"/>
      <w:r w:rsidRPr="00616A70">
        <w:t xml:space="preserve"> dostęp do komory układu zasilania;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Dwukomorowa konstrukcja oprawy;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posiada zamontowane gniazdo w standardzie ZHAGA, pod różnego rodzaju czujniki, m.in. czujnik zmierzchu, kontroler bezprzewodowy do systemu sterowania, itp.;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wyposażona w zawór wyrównujący ciśnienie z membraną przeciw ciałom stałym, zapobiegający zjawisku kondensacji pary wodnej w komorze układu zasilania;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Obudowa bez widocznych żeber radiatora o gładkiej powierzchni zewnętrznej, zapobiegającej osadzaniu się zanieczyszczeń;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posiada termiczne zabezpieczenie NTC przed przegrzaniem modułu LED;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Stopień szczelności oprawy IP66;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Stopień odporności klosza na uderzenia mechaniczne: IK 09;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Utrzymanie strumienia świetlnego w czasie: L90B10 dla 100 000h dla Ta=25°C (utrzymanie 90% strumienia świetlnego w czasie 100 000h przez 90% źródeł światła);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posiada system odcinania zasilania w momencie otwarcia oprawy (wyłącznik nożowy);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Współczynnik mocy przy znamionowym obciążeniu drivera PF </w:t>
      </w:r>
      <w:r w:rsidR="00622383" w:rsidRPr="00616A70">
        <w:t>≥</w:t>
      </w:r>
      <w:r w:rsidRPr="00616A70">
        <w:t xml:space="preserve"> 0,98;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Korpus oprawy wykonany z wysokociśnieniowego odlewu aluminium, malowanego proszkowo na kolor RAL9006;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Klosz oprawy wykonany z płaskiego szkła hartowanego o wysokiej sprawności i grubości min. 4mm (±10%);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Standardowe odchylenie dopasowania barw źródła światła SDCM≤3;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lastRenderedPageBreak/>
        <w:t>Waga nie przekraczająca 8,1 kg;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Wskaźnik oddawania barw CRI≥70;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Maksymalny prąd zasilania pojedynczej diody LED na module IF &lt; 405mA (±3%);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posiada układ zasilania posiadający zintegrowane funkcje sterowania w tym min. DALI, wbudowaną wielostopniową regulację natężenia w późnych godzinach nocnych;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musi posiadać możliwość dopasowania poboru mocy oraz strumienia świetlnego do indywidualnych wymagań klienta poprzez fabryczne zaprogramowanie redukcji mocy i strumienia świetlnego dopasowanych do indywidualnych potrzeb klienta (tj. oprawy ze 100% do wskazanej przez Klienta w godzinach późnonocnych zgodnie z normą PN-EN 13201). W przypadku zastosowania dodatkowych systemów sterowania, oprawa musi posiadać możliwość współpracy z zewnętrznym systemem sterowania;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wyposażona w ochronnik przepięć 20kV (</w:t>
      </w:r>
      <w:proofErr w:type="spellStart"/>
      <w:r w:rsidRPr="00616A70">
        <w:t>Surge</w:t>
      </w:r>
      <w:proofErr w:type="spellEnd"/>
      <w:r w:rsidRPr="00616A70">
        <w:t xml:space="preserve"> </w:t>
      </w:r>
      <w:proofErr w:type="spellStart"/>
      <w:r w:rsidRPr="00616A70">
        <w:t>Protection</w:t>
      </w:r>
      <w:proofErr w:type="spellEnd"/>
      <w:r w:rsidRPr="00616A70">
        <w:t xml:space="preserve"> </w:t>
      </w:r>
      <w:proofErr w:type="spellStart"/>
      <w:r w:rsidRPr="00616A70">
        <w:t>Device</w:t>
      </w:r>
      <w:proofErr w:type="spellEnd"/>
      <w:r w:rsidRPr="00616A70">
        <w:t>), niezależny od ochronnika, w który wyposażony jest zasilacz;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THD &lt; 10%;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Tętnienie prądu ≤ 6%;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Temperatura pracy oprawy -40°C - +40°C;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Możliwość wykonania oprawy w II klasie ochronności;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Gwarancja na oprawy oświetleniowe </w:t>
      </w:r>
      <w:r w:rsidR="007B2B3A" w:rsidRPr="00616A70">
        <w:t>zgodnie z ofertą;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Pliki fotometryczne niezbędne do wykonania obliczeń należy dołączyć do ofert;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posiada deklaracje zgodności CE;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posiada certyfikat ENEC oraz ENEC+;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Oprawa posiada certyfikat </w:t>
      </w:r>
      <w:proofErr w:type="spellStart"/>
      <w:r w:rsidRPr="00616A70">
        <w:t>Zhaga</w:t>
      </w:r>
      <w:proofErr w:type="spellEnd"/>
      <w:r w:rsidRPr="00616A70">
        <w:t xml:space="preserve"> D4i;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Pole powierzchni bocznej oprawy </w:t>
      </w:r>
      <w:proofErr w:type="spellStart"/>
      <w:r w:rsidRPr="00616A70">
        <w:t>Scx</w:t>
      </w:r>
      <w:proofErr w:type="spellEnd"/>
      <w:r w:rsidRPr="00616A70">
        <w:t xml:space="preserve"> ≤ 0,04m2;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powinna być wyposażona w etykietę z kodem QR wraz z dodatkową naklejką (do umieszczenia na słupie oświetleniowym). Pod wskazanym adresem powinny się znajdować następujące dane: fotometria oprawy, parametry elektryczne i mechaniczne, dokumentacja oprawy i instrukcja montażu;</w:t>
      </w:r>
    </w:p>
    <w:p w:rsidR="007E02FE" w:rsidRPr="00616A70" w:rsidRDefault="007E02FE" w:rsidP="007E02FE">
      <w:pPr>
        <w:rPr>
          <w:rFonts w:cs="Tahoma"/>
        </w:rPr>
      </w:pPr>
    </w:p>
    <w:p w:rsidR="007E02FE" w:rsidRPr="00616A70" w:rsidRDefault="007E02FE" w:rsidP="007E02FE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r w:rsidRPr="00616A70">
        <w:rPr>
          <w:rFonts w:cs="Tahoma"/>
        </w:rPr>
        <w:t>Oprawy parkowe/stylizowane powinny posiadać minimum następuję parametry: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dostosowana do montażu zwieszanego na rurze montażowej o średnicy ø42-60 lub do montażu na słupie ø48/60/76mm;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Obudowa: aluminium wtryskiwane wysokociśnieniowo;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Stopień szczelności IP66;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lastRenderedPageBreak/>
        <w:t>Odporność na uszkodzenia mechaniczne IK09;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Strumień oprawy nie niższy niż w Szczegółowym wykazie lokalizacji i opraw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Moc oprawy nie wyższa niż w Szczegółowym wykazie lokalizacji i opraw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Temperatura barwowa [K]: 3000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Żywotność LED [h]: (L90B10) 100 000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Możliwość wykonania oprawy w II klasie ochronności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CRI/Ra: &gt;70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Temperatura pracy oprawy -40°C / +40°C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Zasilanie: 220-240V 50/60Hz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Oprawa posiada deklaracje zgodności CE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Oprawa wyposażona w złącze </w:t>
      </w:r>
      <w:proofErr w:type="spellStart"/>
      <w:r w:rsidRPr="00616A70">
        <w:t>Zhaga</w:t>
      </w:r>
      <w:proofErr w:type="spellEnd"/>
      <w:r w:rsidRPr="00616A70">
        <w:t>, zgodnie ze standardem ZD4i oraz posiadająca certyfikaty ENEC i ENEC+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rPr>
          <w:noProof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256540</wp:posOffset>
            </wp:positionV>
            <wp:extent cx="2508885" cy="1683385"/>
            <wp:effectExtent l="0" t="0" r="5715" b="5715"/>
            <wp:wrapTopAndBottom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8885" cy="16833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616A70">
        <w:t>Kształt oprawy ozdobnej:</w:t>
      </w:r>
    </w:p>
    <w:p w:rsidR="007E02FE" w:rsidRPr="00616A70" w:rsidRDefault="007E02FE" w:rsidP="007E02FE">
      <w:pPr>
        <w:pStyle w:val="Akapitzlist"/>
        <w:ind w:left="993"/>
      </w:pP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259715</wp:posOffset>
            </wp:positionV>
            <wp:extent cx="1520190" cy="2508250"/>
            <wp:effectExtent l="0" t="0" r="3810" b="6350"/>
            <wp:wrapTopAndBottom/>
            <wp:docPr id="3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0190" cy="25082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616A70">
        <w:t>Kształt oprawy zwieszanej:</w:t>
      </w:r>
    </w:p>
    <w:p w:rsidR="007E02FE" w:rsidRPr="00616A70" w:rsidRDefault="007E02FE" w:rsidP="007E02FE">
      <w:pPr>
        <w:ind w:left="709"/>
      </w:pPr>
    </w:p>
    <w:p w:rsidR="007E02FE" w:rsidRPr="00616A70" w:rsidRDefault="007E02FE" w:rsidP="007E02FE">
      <w:pPr>
        <w:ind w:left="709"/>
      </w:pPr>
    </w:p>
    <w:p w:rsidR="007E02FE" w:rsidRPr="00616A70" w:rsidRDefault="007E02FE" w:rsidP="007E02FE">
      <w:pPr>
        <w:ind w:left="709"/>
      </w:pPr>
    </w:p>
    <w:p w:rsidR="007E02FE" w:rsidRPr="00616A70" w:rsidRDefault="007E02FE" w:rsidP="007E02FE">
      <w:pPr>
        <w:pStyle w:val="Akapitzlist"/>
        <w:numPr>
          <w:ilvl w:val="1"/>
          <w:numId w:val="2"/>
        </w:numPr>
        <w:ind w:left="993" w:hanging="567"/>
        <w:rPr>
          <w:rFonts w:cs="Tahoma"/>
        </w:rPr>
      </w:pPr>
      <w:bookmarkStart w:id="9" w:name="_Hlk171405990"/>
      <w:r w:rsidRPr="00616A70">
        <w:rPr>
          <w:rFonts w:cs="Tahoma"/>
        </w:rPr>
        <w:lastRenderedPageBreak/>
        <w:t xml:space="preserve">Główne elementy systemu sterowania </w:t>
      </w:r>
      <w:bookmarkEnd w:id="9"/>
      <w:r w:rsidRPr="00616A70">
        <w:rPr>
          <w:rFonts w:cs="Tahoma"/>
        </w:rPr>
        <w:t>powinny być wyposażone minimum w następujące parametry:</w:t>
      </w:r>
    </w:p>
    <w:p w:rsidR="00D94588" w:rsidRPr="00616A70" w:rsidRDefault="00D94588" w:rsidP="007E02FE">
      <w:pPr>
        <w:ind w:firstLine="708"/>
        <w:rPr>
          <w:rFonts w:cs="Tahoma"/>
          <w:b/>
        </w:rPr>
      </w:pPr>
      <w:bookmarkStart w:id="10" w:name="_Hlk171406120"/>
    </w:p>
    <w:p w:rsidR="007E02FE" w:rsidRPr="00616A70" w:rsidRDefault="007E02FE" w:rsidP="007E02FE">
      <w:pPr>
        <w:ind w:firstLine="708"/>
        <w:rPr>
          <w:rFonts w:cs="Tahoma"/>
          <w:b/>
        </w:rPr>
      </w:pPr>
      <w:r w:rsidRPr="00616A70">
        <w:rPr>
          <w:rFonts w:cs="Tahoma"/>
          <w:b/>
        </w:rPr>
        <w:t xml:space="preserve">Kontroler oprawy </w:t>
      </w:r>
    </w:p>
    <w:bookmarkEnd w:id="10"/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urządzenie elektroniczne instalowane na zewnątrz oprawy oświetleniowej LED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współpracować z gniazdem </w:t>
      </w:r>
      <w:proofErr w:type="spellStart"/>
      <w:r w:rsidRPr="00616A70">
        <w:t>Zhaga</w:t>
      </w:r>
      <w:proofErr w:type="spellEnd"/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współpracować z zasilaczem oprawy oświetleniowej wyposażonym w interfejs DALI/DALI2 (ZD4i)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mieć wbudowany moduł komunikacyjny GSM (LTE </w:t>
      </w:r>
      <w:proofErr w:type="spellStart"/>
      <w:r w:rsidRPr="00616A70">
        <w:t>Cat</w:t>
      </w:r>
      <w:proofErr w:type="spellEnd"/>
      <w:r w:rsidRPr="00616A70">
        <w:t xml:space="preserve"> M1) pozwalający na bezpieczną dwukierunkową komunikację z systemem sterowania (prywatny APN, MQTT(s), TLS1.2),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posiadać zainstalowaną kartę SIM w standardzie MIM MFF2,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posiadać wbudowany moduł GPS do wskazania lokalizacji oprawy w systemie,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pozwalać na zdalne (bezprzewodowe) zarządzanie oprawą,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umożliwiać autonomiczną (samodzielną) pracę oprawy także przy braku komunikacji z systemem sterowania (scenariusze autonomiczne),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obsługiwać definiowane indywidualnie scenariusze autonomiczne: zegar astronomiczny, czasowy, zmierzchowy (indywidualny lub centralny), manualny,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posiadać zaimplementowaną funkcję definiowania scenariuszy świecenia dla każdej oprawy w ciągu doby (do 10 zmian),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pozwalać na dynamiczną zmianę strumienia świetlnego oraz obniżanie mocy oprawy,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pozwalać na zdalny wybór scenariusza świecenia np.: 0%, A (konfigurowalny np.50%), B (konfigurowalny, np.75%), 100% mocy świecenia lub dowolne ustawienie z zakresu 0-100%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raportować dane energetyczne charakterystyczne dla danej oprawy w zależności od jej rodzaju (V, A, P, Q, S, PF),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raportować dane statystyczne: łączny czas świecenia (h), łączna moc pobrana (</w:t>
      </w:r>
      <w:proofErr w:type="spellStart"/>
      <w:r w:rsidRPr="00616A70">
        <w:t>kWh</w:t>
      </w:r>
      <w:proofErr w:type="spellEnd"/>
      <w:r w:rsidRPr="00616A70">
        <w:t>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nie mieć ograniczeń co do maksymalnej dopuszczalnej odległości instalacji kolejnej oprawy oświetleniowej LED wyposażonej w Kontroler (ponieważ każdy Kontroler oprawy komunikuje się samodzielnie i niezależnie od innych uruchomionych Kontrolerów z systemem sterowania poprzez sieć transmisji danych),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obsługiwać zdalną aktualizację oprogramowania,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posiadać indywidualny numer ID.</w:t>
      </w:r>
    </w:p>
    <w:p w:rsidR="007E02FE" w:rsidRPr="00616A70" w:rsidRDefault="007E02FE" w:rsidP="007E02FE">
      <w:pPr>
        <w:rPr>
          <w:rFonts w:cs="Tahoma"/>
        </w:rPr>
      </w:pPr>
    </w:p>
    <w:p w:rsidR="007E02FE" w:rsidRPr="00616A70" w:rsidRDefault="007E02FE" w:rsidP="007E02FE">
      <w:pPr>
        <w:ind w:firstLine="708"/>
        <w:rPr>
          <w:rFonts w:cs="Tahoma"/>
          <w:b/>
        </w:rPr>
      </w:pPr>
      <w:bookmarkStart w:id="11" w:name="_Hlk171406222"/>
      <w:r w:rsidRPr="00616A70">
        <w:rPr>
          <w:rFonts w:cs="Tahoma"/>
          <w:b/>
        </w:rPr>
        <w:t>System Sterowania</w:t>
      </w:r>
      <w:bookmarkEnd w:id="11"/>
      <w:r w:rsidRPr="00616A70">
        <w:rPr>
          <w:rFonts w:cs="Tahoma"/>
          <w:b/>
        </w:rPr>
        <w:t>: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charakteryzować się otwartą i skalowalną architekturą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zbudowany w oparciu o platformę </w:t>
      </w:r>
      <w:proofErr w:type="spellStart"/>
      <w:r w:rsidRPr="00616A70">
        <w:t>IoT</w:t>
      </w:r>
      <w:proofErr w:type="spellEnd"/>
      <w:r w:rsidRPr="00616A70">
        <w:t>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obsługiwać dwukierunkową bezprzewodową komunikację z Kontrolerem oprawy (szyfrowanie TLS1.2)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wspierać protokoły komunikacyjne: </w:t>
      </w:r>
      <w:proofErr w:type="spellStart"/>
      <w:r w:rsidRPr="00616A70">
        <w:t>CoAP</w:t>
      </w:r>
      <w:proofErr w:type="spellEnd"/>
      <w:r w:rsidRPr="00616A70">
        <w:t xml:space="preserve"> (UDP), MQTT(s)/TCP, SMS, HTTP(s),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umożliwiać zdalne zarządzanie Kontrolerami opraw, w tym wysyłanie komend i konfiguracji,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dawać możliwość sterowania każdą oprawą z osobna, a także dowolnie definiowaną grupą opraw,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odpowiadać za elastyczne zarządzanie danymi zebranymi z Kontrolerów opraw - kolekcjonowanie, przechowywanie, przetwarzanie oraz udostępnianie danych i statystyk,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posiadać interfejsy API REST dla integracji z systemami zewnętrznymi,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dzięki skalowalności obsługiwać dużą ilość danych i dużą ilość urządzeń,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pozwalać na łatwe, szybkie i efektywne przeszukiwanie danych w oparciu o narzędzie Big Data,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zapewniać export danych za dany okres pracy opraw (format .</w:t>
      </w:r>
      <w:proofErr w:type="spellStart"/>
      <w:r w:rsidRPr="00616A70">
        <w:t>csv</w:t>
      </w:r>
      <w:proofErr w:type="spellEnd"/>
      <w:r w:rsidRPr="00616A70">
        <w:t>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brak ograniczeń w ilości obsługiwanych Kontrolerów opraw,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pozwalać na rozszerzenie systemu (zdalne podłączenie do niego oraz obsługę) o nowe funkcjonalności niezbędne dla budowania nowych obszarów inteligentnego miasta, w tym oparte o różnego rodzaju sensory i czujniki pracujące w różnych technologiach dostępowych, np.: czujniki parametrów powietrza, czujniki zmierzchu i obecności, sensory hałasu, analizatory energetyczne, systemy parkingowe, kamery, itp.,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obsługiwać zdalną aktualizację oprogramowania Kontrolerów opraw.</w:t>
      </w:r>
    </w:p>
    <w:p w:rsidR="007E02FE" w:rsidRPr="00616A70" w:rsidRDefault="007E02FE" w:rsidP="007E02FE">
      <w:pPr>
        <w:rPr>
          <w:rFonts w:cs="Tahoma"/>
        </w:rPr>
      </w:pPr>
    </w:p>
    <w:p w:rsidR="007E02FE" w:rsidRPr="00616A70" w:rsidRDefault="007E02FE" w:rsidP="007E02FE">
      <w:pPr>
        <w:ind w:firstLine="708"/>
        <w:rPr>
          <w:rFonts w:cs="Tahoma"/>
          <w:b/>
        </w:rPr>
      </w:pPr>
      <w:bookmarkStart w:id="12" w:name="_Hlk171406248"/>
      <w:r w:rsidRPr="00616A70">
        <w:rPr>
          <w:rFonts w:cs="Tahoma"/>
          <w:b/>
        </w:rPr>
        <w:t>Konsola Systemu Zarządzania (</w:t>
      </w:r>
      <w:proofErr w:type="spellStart"/>
      <w:r w:rsidRPr="00616A70">
        <w:rPr>
          <w:rFonts w:cs="Tahoma"/>
          <w:b/>
        </w:rPr>
        <w:t>Dashboard</w:t>
      </w:r>
      <w:proofErr w:type="spellEnd"/>
      <w:r w:rsidRPr="00616A70">
        <w:rPr>
          <w:rFonts w:cs="Tahoma"/>
          <w:b/>
        </w:rPr>
        <w:t>):</w:t>
      </w:r>
    </w:p>
    <w:bookmarkEnd w:id="12"/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poprzez aplikację WWW, dostęp przez przeglądarkę internetową (szyfrowane połączenie https),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logowanie poprzez login i hasło jednorazowe (</w:t>
      </w:r>
      <w:proofErr w:type="spellStart"/>
      <w:r w:rsidRPr="00616A70">
        <w:t>token</w:t>
      </w:r>
      <w:proofErr w:type="spellEnd"/>
      <w:r w:rsidRPr="00616A70">
        <w:t xml:space="preserve"> SMS),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umożliwiać wizualizację opraw oświetleniowych na mapie,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dawać dostęp do raportowanych danych bieżących i historycznych, w zakresie każdej z opraw oświetleniowych (na bazie raportów z Kontrolera oprawy),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lastRenderedPageBreak/>
        <w:t>zakres danych prezentowanych z Kontrolera oprawy – co najmniej: V, P, PF, czas,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wspierać możliwość tworzenia grup opraw oświetleniowych w celu łatwiejszego i bardziej efektywnego zarządzania wieloma oprawami oświetleniowymi,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umożliwiać podgląd bieżących alarmów i statusów opraw, w tym alarm braku komunikacji i zaników napięcia oraz alarm braku świecenia oprawy w zadanym scenariuszu,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umożliwiać podgląd danych opisujących oprawę (paszportyzacja) w zakresie m.in. lokalizacji, typu oprawy, numeru ID Kontrolera oprawy,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pozwalać na zdalną konfigurację i zmianę ustawień systemu sterowania, szczególnie w zakresie zmiany interwału raportowania danych z oprawy oświetleniowej, możliwość zdefiniowania przerwy nocnej,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wspierać zdalne sterowanie scenariuszami pracy oprawy oświetleniowej poprzez Kontroler oprawy w co najmniej poniższym zakresie:</w:t>
      </w:r>
    </w:p>
    <w:p w:rsidR="007E02FE" w:rsidRPr="00616A70" w:rsidRDefault="007E02FE" w:rsidP="007E02FE">
      <w:pPr>
        <w:pStyle w:val="Akapitzlist"/>
        <w:numPr>
          <w:ilvl w:val="1"/>
          <w:numId w:val="17"/>
        </w:numPr>
        <w:ind w:left="1276" w:hanging="283"/>
      </w:pPr>
      <w:r w:rsidRPr="00616A70">
        <w:t>tryb autonomiczny - określenie zmiennych poziomów świecenia oprawy w ciągu doby w scenariuszach: zegar astronomiczny, czasowy, zmierzchowy (indywidualny lub centralny), manualny,</w:t>
      </w:r>
    </w:p>
    <w:p w:rsidR="007E02FE" w:rsidRPr="00616A70" w:rsidRDefault="007E02FE" w:rsidP="007E02FE">
      <w:pPr>
        <w:pStyle w:val="Akapitzlist"/>
        <w:numPr>
          <w:ilvl w:val="1"/>
          <w:numId w:val="17"/>
        </w:numPr>
        <w:ind w:left="1276" w:hanging="283"/>
      </w:pPr>
      <w:r w:rsidRPr="00616A70">
        <w:t>stały poziom świecenia w trybach: ON, OFF, A (konfigurowalne, np.50%), B (konfigurowalne, np.75%), 100%,</w:t>
      </w:r>
    </w:p>
    <w:p w:rsidR="007E02FE" w:rsidRPr="00616A70" w:rsidRDefault="007E02FE" w:rsidP="007E02FE">
      <w:pPr>
        <w:pStyle w:val="Akapitzlist"/>
        <w:numPr>
          <w:ilvl w:val="1"/>
          <w:numId w:val="17"/>
        </w:numPr>
        <w:ind w:left="1276" w:hanging="283"/>
      </w:pPr>
      <w:r w:rsidRPr="00616A70">
        <w:t>możliwość określenia dowolnego poziomu świecenia 0-100% (DALI/DALI2),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umożliwiać wysyłkę raportów alarmowych na dowolny email i SMS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możliwość obsługi i wyświetlania danych pochodzących z innych systemów i rozwiązań Smart City, w tym różnego rodzaju sensorów i czujników środowiskowych, energetycznych, miejskich, itp.</w:t>
      </w:r>
    </w:p>
    <w:p w:rsidR="007E02FE" w:rsidRPr="00616A70" w:rsidRDefault="007E02FE" w:rsidP="007E02FE">
      <w:pPr>
        <w:rPr>
          <w:rFonts w:cs="Tahoma"/>
        </w:rPr>
      </w:pPr>
    </w:p>
    <w:p w:rsidR="007E02FE" w:rsidRPr="00616A70" w:rsidRDefault="007E02FE" w:rsidP="007E02FE">
      <w:pPr>
        <w:ind w:firstLine="708"/>
        <w:rPr>
          <w:rFonts w:cs="Tahoma"/>
          <w:b/>
        </w:rPr>
      </w:pPr>
      <w:bookmarkStart w:id="13" w:name="_Hlk171406269"/>
      <w:r w:rsidRPr="00616A70">
        <w:rPr>
          <w:rFonts w:cs="Tahoma"/>
          <w:b/>
        </w:rPr>
        <w:t>Sieć transmisji danych</w:t>
      </w:r>
      <w:bookmarkEnd w:id="13"/>
      <w:r w:rsidRPr="00616A70">
        <w:rPr>
          <w:rFonts w:cs="Tahoma"/>
          <w:b/>
        </w:rPr>
        <w:t>: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umożliwiać bezprzewodową, dwukierunkową, bezpośrednią komunikację pomiędzy Kontrolerem oprawy a systemem sterowania,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komunikacja między Kontrolerem oprawy a systemem sterowania winna być realizowana bez konieczności stosowania i instalowania (np. na oprawie oświetleniowej, na słupach oświetleniowych, w szafach oświetleniowych itd.) dodatkowych urządzeń pośredniczących i elementów komunikacyjnych takich, jak: huby, </w:t>
      </w:r>
      <w:proofErr w:type="spellStart"/>
      <w:r w:rsidRPr="00616A70">
        <w:t>gatewaye</w:t>
      </w:r>
      <w:proofErr w:type="spellEnd"/>
      <w:r w:rsidRPr="00616A70">
        <w:t>, centralki, itp.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wspierać komunikację w kanałach: Data (pakietowa transmisja danych), SMS, USSD,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lastRenderedPageBreak/>
        <w:t xml:space="preserve">komunikacja w kanale Data (pakietowa transmisja danych) winna odbywać się poprzez prywatny APN (ang. Access Point </w:t>
      </w:r>
      <w:proofErr w:type="spellStart"/>
      <w:r w:rsidRPr="00616A70">
        <w:t>Name</w:t>
      </w:r>
      <w:proofErr w:type="spellEnd"/>
      <w:r w:rsidRPr="00616A70">
        <w:t>) wykreowany w sieci transmisji danych. Wykorzystanie prywatnego APN podnosi bezpieczeństwo rozwiązania poprzez logiczne odseparowanie ruchu związanego z Systemem Zarządzania Oświetleniem w sieci transmisji danych,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 xml:space="preserve">działać w paśmie licencjonowanym GSM (LTE </w:t>
      </w:r>
      <w:proofErr w:type="spellStart"/>
      <w:r w:rsidRPr="00616A70">
        <w:t>Cat</w:t>
      </w:r>
      <w:proofErr w:type="spellEnd"/>
      <w:r w:rsidRPr="00616A70">
        <w:t xml:space="preserve"> M1),</w:t>
      </w:r>
    </w:p>
    <w:p w:rsidR="007E02FE" w:rsidRPr="00616A70" w:rsidRDefault="007E02FE" w:rsidP="007E02FE">
      <w:pPr>
        <w:pStyle w:val="Akapitzlist"/>
        <w:numPr>
          <w:ilvl w:val="0"/>
          <w:numId w:val="16"/>
        </w:numPr>
        <w:ind w:left="993" w:hanging="284"/>
      </w:pPr>
      <w:r w:rsidRPr="00616A70">
        <w:t>gwarantować dostępność sieci transmisji danych, a co za tym idzie także zdalną możliwość zarządzania oprawą oświetleniową i zegarami astronomicznymi poprzez sieć transmisji danych na poziomie powyżej 10 lat (bez potrzeby wymiany Kontrolera oprawy).</w:t>
      </w:r>
    </w:p>
    <w:p w:rsidR="00982BCB" w:rsidRPr="00616A70" w:rsidRDefault="00982BCB" w:rsidP="007E02FE"/>
    <w:p w:rsidR="007E02FE" w:rsidRPr="00616A70" w:rsidRDefault="007E02FE" w:rsidP="00982BCB">
      <w:pPr>
        <w:pStyle w:val="Nagwekspisutreci"/>
        <w:numPr>
          <w:ilvl w:val="0"/>
          <w:numId w:val="27"/>
        </w:numPr>
        <w:spacing w:before="0" w:line="360" w:lineRule="auto"/>
        <w:ind w:left="426" w:hanging="426"/>
        <w:rPr>
          <w:rFonts w:ascii="Tahoma" w:hAnsi="Tahoma" w:cs="Tahoma"/>
          <w:color w:val="auto"/>
          <w:sz w:val="22"/>
        </w:rPr>
      </w:pPr>
      <w:bookmarkStart w:id="14" w:name="_Toc171518365"/>
      <w:r w:rsidRPr="00616A70">
        <w:rPr>
          <w:rFonts w:ascii="Tahoma" w:hAnsi="Tahoma" w:cs="Tahoma"/>
          <w:color w:val="auto"/>
          <w:sz w:val="22"/>
        </w:rPr>
        <w:t>UWARUNKOWANIA DOTYCZĄCE RÓWNOWAŻNOŚCI OFERT</w:t>
      </w:r>
      <w:bookmarkEnd w:id="14"/>
    </w:p>
    <w:p w:rsidR="00982BCB" w:rsidRPr="00616A70" w:rsidRDefault="007E02FE" w:rsidP="00982BCB">
      <w:pPr>
        <w:pStyle w:val="Akapitzlist"/>
        <w:numPr>
          <w:ilvl w:val="1"/>
          <w:numId w:val="27"/>
        </w:numPr>
        <w:ind w:left="993" w:hanging="567"/>
        <w:rPr>
          <w:rFonts w:eastAsia="Arial" w:cs="Tahoma"/>
        </w:rPr>
      </w:pPr>
      <w:r w:rsidRPr="00616A70">
        <w:t>Zgodnie</w:t>
      </w:r>
      <w:r w:rsidRPr="00616A70">
        <w:rPr>
          <w:rFonts w:eastAsia="Arial" w:cs="Tahoma"/>
        </w:rPr>
        <w:t xml:space="preserve"> z art. 99 ust. 5 i 6 Ustawy Prawo zamówień publicznych Zamawiający dopuszcza składanie ofert równoważnych. Warunkiem jest, aby urządzenia równoważne posiadały, co najmniej takie same lub lepsze parametry techniczno – użytkowe, jakich użyto w dokumentacji technicznej do wykonania przedmiotu zamówienia.</w:t>
      </w:r>
    </w:p>
    <w:p w:rsidR="007E02FE" w:rsidRPr="00616A70" w:rsidRDefault="007E02FE" w:rsidP="00982BCB">
      <w:pPr>
        <w:pStyle w:val="Akapitzlist"/>
        <w:numPr>
          <w:ilvl w:val="1"/>
          <w:numId w:val="27"/>
        </w:numPr>
        <w:ind w:left="993" w:hanging="567"/>
        <w:rPr>
          <w:rFonts w:eastAsia="Arial" w:cs="Tahoma"/>
        </w:rPr>
      </w:pPr>
      <w:r w:rsidRPr="00616A70">
        <w:rPr>
          <w:rFonts w:eastAsia="Arial" w:cs="Tahoma"/>
        </w:rPr>
        <w:t>Wykonawcy składający ofertę równoważną muszą spełnić następujące wymagania:</w:t>
      </w:r>
    </w:p>
    <w:p w:rsidR="007E02FE" w:rsidRPr="00616A70" w:rsidRDefault="007E02FE" w:rsidP="00982BCB">
      <w:pPr>
        <w:pStyle w:val="Tekstpodstawowy"/>
        <w:numPr>
          <w:ilvl w:val="0"/>
          <w:numId w:val="25"/>
        </w:numPr>
        <w:spacing w:before="60" w:after="60"/>
        <w:ind w:left="1418" w:hanging="425"/>
        <w:rPr>
          <w:rFonts w:ascii="Tahoma" w:eastAsia="Arial" w:hAnsi="Tahoma" w:cs="Tahoma"/>
        </w:rPr>
      </w:pPr>
      <w:r w:rsidRPr="00616A70">
        <w:rPr>
          <w:rFonts w:ascii="Tahoma" w:eastAsia="Arial" w:hAnsi="Tahoma" w:cs="Tahoma"/>
        </w:rPr>
        <w:t xml:space="preserve">W przypadku zastosowania innych opraw oświetleniowych niż przyjęte w dokumentacji technicznej należy wykazać, że oprawy w projekcie równoważnym gwarantują wartości parametrów oświetleniowych i użytkowych na poziomie niemniejszym niż wyliczone w dokumentacji technicznej posiadanej przez Zamawiającego. W tym celu należy uzupełnić Zestawienie parametrów techniczno-użytkowych dla każdej proponowanej oprawy. Zestawienie parametrów techniczno-użytkowych stanowi załącznik nr </w:t>
      </w:r>
      <w:r w:rsidR="00E14607" w:rsidRPr="00616A70">
        <w:rPr>
          <w:rFonts w:ascii="Tahoma" w:eastAsia="Arial" w:hAnsi="Tahoma" w:cs="Tahoma"/>
        </w:rPr>
        <w:t>12</w:t>
      </w:r>
      <w:r w:rsidRPr="00616A70">
        <w:rPr>
          <w:rFonts w:ascii="Tahoma" w:eastAsia="Arial" w:hAnsi="Tahoma" w:cs="Tahoma"/>
        </w:rPr>
        <w:t xml:space="preserve"> do SWZ.</w:t>
      </w:r>
    </w:p>
    <w:p w:rsidR="007E02FE" w:rsidRPr="00616A70" w:rsidRDefault="007E02FE" w:rsidP="00982BCB">
      <w:pPr>
        <w:pStyle w:val="Tekstpodstawowy"/>
        <w:numPr>
          <w:ilvl w:val="0"/>
          <w:numId w:val="25"/>
        </w:numPr>
        <w:spacing w:before="60" w:after="60"/>
        <w:ind w:left="1418" w:hanging="425"/>
        <w:rPr>
          <w:rFonts w:ascii="Tahoma" w:eastAsia="Arial" w:hAnsi="Tahoma" w:cs="Tahoma"/>
        </w:rPr>
      </w:pPr>
      <w:r w:rsidRPr="00616A70">
        <w:rPr>
          <w:rFonts w:ascii="Tahoma" w:eastAsia="Arial" w:hAnsi="Tahoma" w:cs="Tahoma"/>
        </w:rPr>
        <w:t xml:space="preserve">W przypadku zastosowania innych opraw oświetleniowych niż przyjęte w dokumentacji technicznej należy wypełnić Szczegółowy wykaz lokalizacji i opraw w zakresie kolumn od </w:t>
      </w:r>
      <w:r w:rsidR="00982BCB" w:rsidRPr="00616A70">
        <w:rPr>
          <w:rFonts w:ascii="Tahoma" w:eastAsia="Arial" w:hAnsi="Tahoma" w:cs="Tahoma"/>
        </w:rPr>
        <w:t>V</w:t>
      </w:r>
      <w:r w:rsidRPr="00616A70">
        <w:rPr>
          <w:rFonts w:ascii="Tahoma" w:eastAsia="Arial" w:hAnsi="Tahoma" w:cs="Tahoma"/>
        </w:rPr>
        <w:t xml:space="preserve"> do </w:t>
      </w:r>
      <w:r w:rsidR="00982BCB" w:rsidRPr="00616A70">
        <w:rPr>
          <w:rFonts w:ascii="Tahoma" w:eastAsia="Arial" w:hAnsi="Tahoma" w:cs="Tahoma"/>
        </w:rPr>
        <w:t>Z</w:t>
      </w:r>
      <w:r w:rsidRPr="00616A70">
        <w:rPr>
          <w:rFonts w:ascii="Tahoma" w:eastAsia="Arial" w:hAnsi="Tahoma" w:cs="Tahoma"/>
        </w:rPr>
        <w:t>.</w:t>
      </w:r>
    </w:p>
    <w:p w:rsidR="007E02FE" w:rsidRPr="00616A70" w:rsidRDefault="007E02FE" w:rsidP="00982BCB">
      <w:pPr>
        <w:pStyle w:val="Tekstpodstawowy"/>
        <w:numPr>
          <w:ilvl w:val="0"/>
          <w:numId w:val="25"/>
        </w:numPr>
        <w:spacing w:before="60" w:after="60"/>
        <w:ind w:left="1418" w:hanging="425"/>
        <w:rPr>
          <w:rFonts w:ascii="Tahoma" w:eastAsia="Arial" w:hAnsi="Tahoma" w:cs="Tahoma"/>
        </w:rPr>
      </w:pPr>
      <w:r w:rsidRPr="00616A70">
        <w:rPr>
          <w:rFonts w:ascii="Tahoma" w:eastAsia="Arial" w:hAnsi="Tahoma" w:cs="Tahoma"/>
        </w:rPr>
        <w:t xml:space="preserve">W przypadku zastosowania innych </w:t>
      </w:r>
      <w:r w:rsidR="00D94588" w:rsidRPr="00616A70">
        <w:rPr>
          <w:rFonts w:ascii="Tahoma" w:eastAsia="Arial" w:hAnsi="Tahoma" w:cs="Tahoma"/>
        </w:rPr>
        <w:t xml:space="preserve">parametrów </w:t>
      </w:r>
      <w:r w:rsidRPr="00616A70">
        <w:rPr>
          <w:rFonts w:ascii="Tahoma" w:eastAsia="Arial" w:hAnsi="Tahoma" w:cs="Tahoma"/>
        </w:rPr>
        <w:t xml:space="preserve">opraw oświetleniowych niż przyjęte w dokumentacji technicznej należy opracować i przedstawić obliczenia fotometryczne dla określonych punktów w Szczegółowym wykazie lokalizacji i opraw w kolumnie </w:t>
      </w:r>
      <w:r w:rsidR="00982BCB" w:rsidRPr="00616A70">
        <w:rPr>
          <w:rFonts w:ascii="Tahoma" w:eastAsia="Arial" w:hAnsi="Tahoma" w:cs="Tahoma"/>
        </w:rPr>
        <w:t>U</w:t>
      </w:r>
      <w:r w:rsidRPr="00616A70">
        <w:rPr>
          <w:rFonts w:ascii="Tahoma" w:eastAsia="Arial" w:hAnsi="Tahoma" w:cs="Tahoma"/>
        </w:rPr>
        <w:t xml:space="preserve">. Celem przedstawienia obliczeń jest udokumentowanie zamienności opraw w stosunku do programu Zamawiającego. Na Wykonawcy ciąży obowiązek udokumentowania spełnienia </w:t>
      </w:r>
      <w:r w:rsidRPr="00616A70">
        <w:rPr>
          <w:rFonts w:ascii="Tahoma" w:eastAsia="Arial" w:hAnsi="Tahoma" w:cs="Tahoma"/>
        </w:rPr>
        <w:lastRenderedPageBreak/>
        <w:t>wymagań poprzez wykonanie i załączenie do oferty projektu oświetleniowego zawierającego wszystkie elementy i parametry zawarte w dokumentacji technicznej będącej projektem referencyjnym. Obliczenia oraz prezentacja wyników obliczeń muszą być w pełni zgodne z przyjętymi w dokumentacji technicznej Zamawiającego parametrami. Porównywane będą parametry średnie dla uzyskanych wyników</w:t>
      </w:r>
      <w:r w:rsidR="00302F8C" w:rsidRPr="00616A70">
        <w:rPr>
          <w:rFonts w:ascii="Tahoma" w:eastAsia="Arial" w:hAnsi="Tahoma" w:cs="Tahoma"/>
        </w:rPr>
        <w:t xml:space="preserve">, dlatego poza plikami w formacie </w:t>
      </w:r>
      <w:proofErr w:type="spellStart"/>
      <w:r w:rsidR="00302F8C" w:rsidRPr="00616A70">
        <w:rPr>
          <w:rFonts w:ascii="Tahoma" w:eastAsia="Arial" w:hAnsi="Tahoma" w:cs="Tahoma"/>
        </w:rPr>
        <w:t>.pd</w:t>
      </w:r>
      <w:proofErr w:type="spellEnd"/>
      <w:r w:rsidR="00302F8C" w:rsidRPr="00616A70">
        <w:rPr>
          <w:rFonts w:ascii="Tahoma" w:eastAsia="Arial" w:hAnsi="Tahoma" w:cs="Tahoma"/>
        </w:rPr>
        <w:t>f obliczenia fotometryczne muszą być przekazane w formacie edytowalnych plików możliwych do odczytu w ogólnodostępnym programie DIALLUX.</w:t>
      </w:r>
      <w:r w:rsidRPr="00616A70">
        <w:rPr>
          <w:rFonts w:ascii="Tahoma" w:eastAsia="Arial" w:hAnsi="Tahoma" w:cs="Tahoma"/>
        </w:rPr>
        <w:t xml:space="preserve"> Spełnienie powyższych warunków gwarantuje możliwość porównania zastosowanych opraw i uznania ich równoważności na podstawie efektu oświetleniowego uzyskiwanego w tożsamych warunkach.</w:t>
      </w:r>
      <w:r w:rsidR="00302F8C" w:rsidRPr="00616A70">
        <w:rPr>
          <w:rFonts w:ascii="Tahoma" w:eastAsia="Arial" w:hAnsi="Tahoma" w:cs="Tahoma"/>
        </w:rPr>
        <w:t xml:space="preserve"> </w:t>
      </w:r>
    </w:p>
    <w:p w:rsidR="007E02FE" w:rsidRPr="00616A70" w:rsidRDefault="007E02FE" w:rsidP="00982BCB">
      <w:pPr>
        <w:pStyle w:val="Tekstpodstawowy"/>
        <w:numPr>
          <w:ilvl w:val="0"/>
          <w:numId w:val="25"/>
        </w:numPr>
        <w:spacing w:before="60" w:after="60"/>
        <w:ind w:left="1418" w:hanging="425"/>
        <w:rPr>
          <w:rFonts w:ascii="Tahoma" w:eastAsia="Arial" w:hAnsi="Tahoma" w:cs="Tahoma"/>
        </w:rPr>
      </w:pPr>
      <w:r w:rsidRPr="00616A70">
        <w:rPr>
          <w:rFonts w:ascii="Tahoma" w:eastAsia="Arial" w:hAnsi="Tahoma" w:cs="Tahoma"/>
        </w:rPr>
        <w:t>Wykonawca składający ofertę, w przypadku wygrania przetargu i realizacji zadania, ponosi pełną odpowiedzialność za osiągnięcie efektu modernizacji.</w:t>
      </w:r>
    </w:p>
    <w:p w:rsidR="004E0CE9" w:rsidRPr="00616A70" w:rsidRDefault="004E0CE9" w:rsidP="004E0CE9"/>
    <w:p w:rsidR="007E02FE" w:rsidRPr="00616A70" w:rsidRDefault="007E02FE" w:rsidP="00982BCB">
      <w:pPr>
        <w:pStyle w:val="Nagwekspisutreci"/>
        <w:numPr>
          <w:ilvl w:val="0"/>
          <w:numId w:val="27"/>
        </w:numPr>
        <w:spacing w:before="0" w:line="360" w:lineRule="auto"/>
        <w:ind w:left="426" w:hanging="426"/>
        <w:rPr>
          <w:rFonts w:ascii="Tahoma" w:hAnsi="Tahoma" w:cs="Tahoma"/>
          <w:color w:val="auto"/>
          <w:sz w:val="22"/>
        </w:rPr>
      </w:pPr>
      <w:bookmarkStart w:id="15" w:name="_Toc171518368"/>
      <w:r w:rsidRPr="00616A70">
        <w:rPr>
          <w:rFonts w:ascii="Tahoma" w:hAnsi="Tahoma" w:cs="Tahoma"/>
          <w:color w:val="auto"/>
          <w:sz w:val="22"/>
        </w:rPr>
        <w:t>GWARANCJA</w:t>
      </w:r>
      <w:bookmarkEnd w:id="15"/>
    </w:p>
    <w:p w:rsidR="007E02FE" w:rsidRPr="00616A70" w:rsidRDefault="007E02FE" w:rsidP="00982BCB">
      <w:pPr>
        <w:pStyle w:val="Akapitzlist"/>
        <w:numPr>
          <w:ilvl w:val="1"/>
          <w:numId w:val="27"/>
        </w:numPr>
        <w:ind w:left="993" w:hanging="567"/>
      </w:pPr>
      <w:r w:rsidRPr="00616A70">
        <w:t>Gwarancja na oprawy oświetleniowe</w:t>
      </w:r>
      <w:r w:rsidR="006402E6" w:rsidRPr="00616A70">
        <w:t>,</w:t>
      </w:r>
      <w:r w:rsidRPr="00616A70">
        <w:t xml:space="preserve"> system sterowania</w:t>
      </w:r>
      <w:r w:rsidR="006402E6" w:rsidRPr="00616A70">
        <w:t xml:space="preserve"> oraz na wykonane roboty</w:t>
      </w:r>
      <w:r w:rsidRPr="00616A70">
        <w:t xml:space="preserve"> </w:t>
      </w:r>
      <w:r w:rsidR="007237F6" w:rsidRPr="00616A70">
        <w:t>–</w:t>
      </w:r>
      <w:r w:rsidRPr="00616A70">
        <w:t xml:space="preserve"> </w:t>
      </w:r>
      <w:r w:rsidR="007237F6" w:rsidRPr="00616A70">
        <w:t>zgodnie z ofertą.</w:t>
      </w:r>
    </w:p>
    <w:p w:rsidR="007E02FE" w:rsidRPr="00616A70" w:rsidRDefault="007E02FE" w:rsidP="00982BCB">
      <w:pPr>
        <w:ind w:left="990"/>
      </w:pPr>
      <w:bookmarkStart w:id="16" w:name="_Hlk171406545"/>
      <w:r w:rsidRPr="00616A70">
        <w:t>W ramach realizacji obowiązków gwarancyjnych, po otrzymaniu od Zamawiającego zgłoszenia, Wykonawca dostarcza na swój koszt do Zamawiającego oprawę tego samego typu lub oprawę równoważną w terminie 7 dni roboczych, licząc od dnia otrzymania zgłoszenia. Oprawy objęte zgłoszeniem gwarancyjnym Wykonawca wymienia na własny koszt wraz z demontażem zgłoszonej oprawy.</w:t>
      </w:r>
    </w:p>
    <w:p w:rsidR="007E02FE" w:rsidRPr="00616A70" w:rsidRDefault="007E02FE" w:rsidP="00982BCB">
      <w:pPr>
        <w:ind w:left="990"/>
      </w:pPr>
      <w:r w:rsidRPr="00616A70">
        <w:t>Powyższe zapisy mają identyczne zastosowanie do opraw wyposażonych w autonomiczne sterowanie jak i samego systemu sterowania.</w:t>
      </w:r>
      <w:bookmarkEnd w:id="16"/>
    </w:p>
    <w:p w:rsidR="005641B5" w:rsidRPr="00616A70" w:rsidRDefault="005641B5" w:rsidP="00982BCB">
      <w:pPr>
        <w:ind w:left="990"/>
      </w:pPr>
      <w:r w:rsidRPr="00616A70">
        <w:t>W przypadku niedotrzymania terminu 7 dni roboczych zostanie naliczona kara umowna w wysokości 0,5% wartości zamówienia za każdy dzień zwłoki.</w:t>
      </w:r>
    </w:p>
    <w:p w:rsidR="00095872" w:rsidRPr="00616A70" w:rsidRDefault="007E02FE" w:rsidP="00982BCB">
      <w:pPr>
        <w:pStyle w:val="Akapitzlist"/>
        <w:numPr>
          <w:ilvl w:val="1"/>
          <w:numId w:val="27"/>
        </w:numPr>
        <w:ind w:left="993" w:hanging="567"/>
      </w:pPr>
      <w:bookmarkStart w:id="17" w:name="_Hlk171406613"/>
      <w:r w:rsidRPr="00616A70">
        <w:t>Czas reakcji serwisowej wynosi 48 godzin od momentu zgłoszenia przez Zamawiającego.</w:t>
      </w:r>
    </w:p>
    <w:p w:rsidR="007E02FE" w:rsidRPr="00616A70" w:rsidRDefault="007E02FE" w:rsidP="00982BCB">
      <w:pPr>
        <w:ind w:left="990"/>
        <w:rPr>
          <w:rFonts w:cs="Tahoma"/>
        </w:rPr>
      </w:pPr>
      <w:r w:rsidRPr="00616A70">
        <w:rPr>
          <w:rFonts w:cs="Tahoma"/>
        </w:rPr>
        <w:t>Za czas reakcji serwisowej należy rozumieć potwierdzenie przez Wykonawcę przyjęcia zgłoszenia oraz wykonanie ewentualnych oględzin serwisowanego punktu lub punktów oświetleniowych.</w:t>
      </w:r>
    </w:p>
    <w:p w:rsidR="005641B5" w:rsidRPr="005641B5" w:rsidRDefault="005641B5" w:rsidP="00982BCB">
      <w:pPr>
        <w:ind w:left="990"/>
      </w:pPr>
      <w:r w:rsidRPr="00616A70">
        <w:t>W przypadku niedotrzymania terminu 48 godzin zostanie naliczona kara umowna w wysokości 0,5% wartości zamówienia za każdy dzień zwłoki.</w:t>
      </w:r>
      <w:bookmarkEnd w:id="17"/>
    </w:p>
    <w:sectPr w:rsidR="005641B5" w:rsidRPr="005641B5" w:rsidSect="0055216B">
      <w:footerReference w:type="even" r:id="rId10"/>
      <w:footerReference w:type="default" r:id="rId11"/>
      <w:pgSz w:w="11900" w:h="16840"/>
      <w:pgMar w:top="1418" w:right="1418" w:bottom="1418" w:left="1418" w:header="573" w:footer="856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0F8" w:rsidRDefault="00D360F8" w:rsidP="001545E3">
      <w:pPr>
        <w:spacing w:line="240" w:lineRule="auto"/>
      </w:pPr>
      <w:r>
        <w:separator/>
      </w:r>
    </w:p>
  </w:endnote>
  <w:endnote w:type="continuationSeparator" w:id="0">
    <w:p w:rsidR="00D360F8" w:rsidRDefault="00D360F8" w:rsidP="001545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</w:rPr>
      <w:id w:val="1224570109"/>
      <w:docPartObj>
        <w:docPartGallery w:val="Page Numbers (Bottom of Page)"/>
        <w:docPartUnique/>
      </w:docPartObj>
    </w:sdtPr>
    <w:sdtContent>
      <w:p w:rsidR="001545E3" w:rsidRDefault="0086584F" w:rsidP="00CC065D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 w:rsidR="001545E3"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1545E3" w:rsidRDefault="001545E3" w:rsidP="001545E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</w:rPr>
      <w:id w:val="2069531899"/>
      <w:docPartObj>
        <w:docPartGallery w:val="Page Numbers (Bottom of Page)"/>
        <w:docPartUnique/>
      </w:docPartObj>
    </w:sdtPr>
    <w:sdtContent>
      <w:p w:rsidR="001545E3" w:rsidRDefault="0086584F" w:rsidP="00CC065D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 w:rsidR="001545E3"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616A70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:rsidR="001545E3" w:rsidRDefault="001545E3" w:rsidP="001545E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0F8" w:rsidRDefault="00D360F8" w:rsidP="001545E3">
      <w:pPr>
        <w:spacing w:line="240" w:lineRule="auto"/>
      </w:pPr>
      <w:r>
        <w:separator/>
      </w:r>
    </w:p>
  </w:footnote>
  <w:footnote w:type="continuationSeparator" w:id="0">
    <w:p w:rsidR="00D360F8" w:rsidRDefault="00D360F8" w:rsidP="001545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2960282"/>
    <w:multiLevelType w:val="hybridMultilevel"/>
    <w:tmpl w:val="BADD34E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7F2410"/>
    <w:multiLevelType w:val="multilevel"/>
    <w:tmpl w:val="8E32A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964A99"/>
    <w:multiLevelType w:val="hybridMultilevel"/>
    <w:tmpl w:val="BEDEB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610C8"/>
    <w:multiLevelType w:val="hybridMultilevel"/>
    <w:tmpl w:val="9634B4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D0CFE"/>
    <w:multiLevelType w:val="hybridMultilevel"/>
    <w:tmpl w:val="94FE5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C6517D"/>
    <w:multiLevelType w:val="hybridMultilevel"/>
    <w:tmpl w:val="BEDEB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E12AC"/>
    <w:multiLevelType w:val="multilevel"/>
    <w:tmpl w:val="279AC5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266E1138"/>
    <w:multiLevelType w:val="multilevel"/>
    <w:tmpl w:val="8E32A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7AF2C22"/>
    <w:multiLevelType w:val="multilevel"/>
    <w:tmpl w:val="8E32A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B535A60"/>
    <w:multiLevelType w:val="hybridMultilevel"/>
    <w:tmpl w:val="94FE5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E1100"/>
    <w:multiLevelType w:val="hybridMultilevel"/>
    <w:tmpl w:val="A5A4F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603D5"/>
    <w:multiLevelType w:val="hybridMultilevel"/>
    <w:tmpl w:val="BEDEB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27598"/>
    <w:multiLevelType w:val="hybridMultilevel"/>
    <w:tmpl w:val="F274CD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41407"/>
    <w:multiLevelType w:val="multilevel"/>
    <w:tmpl w:val="8E32A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31075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CD55001"/>
    <w:multiLevelType w:val="hybridMultilevel"/>
    <w:tmpl w:val="BC14D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1B4756"/>
    <w:multiLevelType w:val="hybridMultilevel"/>
    <w:tmpl w:val="C932337A"/>
    <w:lvl w:ilvl="0" w:tplc="B360F7E0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D3AD4"/>
    <w:multiLevelType w:val="hybridMultilevel"/>
    <w:tmpl w:val="BEDEB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37734"/>
    <w:multiLevelType w:val="hybridMultilevel"/>
    <w:tmpl w:val="BEDEB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120FEB"/>
    <w:multiLevelType w:val="hybridMultilevel"/>
    <w:tmpl w:val="2786C254"/>
    <w:lvl w:ilvl="0" w:tplc="F5569A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803276"/>
    <w:multiLevelType w:val="multilevel"/>
    <w:tmpl w:val="8E32A1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5AC54E9"/>
    <w:multiLevelType w:val="hybridMultilevel"/>
    <w:tmpl w:val="799F6B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80B3211"/>
    <w:multiLevelType w:val="hybridMultilevel"/>
    <w:tmpl w:val="575AB028"/>
    <w:lvl w:ilvl="0" w:tplc="BA68B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A68BB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5A063C"/>
    <w:multiLevelType w:val="hybridMultilevel"/>
    <w:tmpl w:val="4CBE9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87529E"/>
    <w:multiLevelType w:val="hybridMultilevel"/>
    <w:tmpl w:val="E0687A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9F7BB6"/>
    <w:multiLevelType w:val="hybridMultilevel"/>
    <w:tmpl w:val="9E34B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900343"/>
    <w:multiLevelType w:val="hybridMultilevel"/>
    <w:tmpl w:val="9E34B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547CAA"/>
    <w:multiLevelType w:val="hybridMultilevel"/>
    <w:tmpl w:val="BC14D1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21"/>
  </w:num>
  <w:num w:numId="5">
    <w:abstractNumId w:val="14"/>
  </w:num>
  <w:num w:numId="6">
    <w:abstractNumId w:val="6"/>
  </w:num>
  <w:num w:numId="7">
    <w:abstractNumId w:val="0"/>
  </w:num>
  <w:num w:numId="8">
    <w:abstractNumId w:val="16"/>
  </w:num>
  <w:num w:numId="9">
    <w:abstractNumId w:val="19"/>
  </w:num>
  <w:num w:numId="10">
    <w:abstractNumId w:val="20"/>
  </w:num>
  <w:num w:numId="11">
    <w:abstractNumId w:val="23"/>
  </w:num>
  <w:num w:numId="12">
    <w:abstractNumId w:val="13"/>
  </w:num>
  <w:num w:numId="13">
    <w:abstractNumId w:val="1"/>
  </w:num>
  <w:num w:numId="14">
    <w:abstractNumId w:val="17"/>
  </w:num>
  <w:num w:numId="15">
    <w:abstractNumId w:val="3"/>
  </w:num>
  <w:num w:numId="16">
    <w:abstractNumId w:val="24"/>
  </w:num>
  <w:num w:numId="17">
    <w:abstractNumId w:val="22"/>
  </w:num>
  <w:num w:numId="18">
    <w:abstractNumId w:val="2"/>
  </w:num>
  <w:num w:numId="19">
    <w:abstractNumId w:val="5"/>
  </w:num>
  <w:num w:numId="20">
    <w:abstractNumId w:val="25"/>
  </w:num>
  <w:num w:numId="21">
    <w:abstractNumId w:val="26"/>
  </w:num>
  <w:num w:numId="22">
    <w:abstractNumId w:val="27"/>
  </w:num>
  <w:num w:numId="23">
    <w:abstractNumId w:val="15"/>
  </w:num>
  <w:num w:numId="24">
    <w:abstractNumId w:val="18"/>
  </w:num>
  <w:num w:numId="25">
    <w:abstractNumId w:val="4"/>
  </w:num>
  <w:num w:numId="26">
    <w:abstractNumId w:val="11"/>
  </w:num>
  <w:num w:numId="27">
    <w:abstractNumId w:val="8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3C41"/>
    <w:rsid w:val="00095872"/>
    <w:rsid w:val="000C4AC5"/>
    <w:rsid w:val="000C7E26"/>
    <w:rsid w:val="000E6EE5"/>
    <w:rsid w:val="000F5A9B"/>
    <w:rsid w:val="00133A50"/>
    <w:rsid w:val="00141954"/>
    <w:rsid w:val="001545E3"/>
    <w:rsid w:val="00190E42"/>
    <w:rsid w:val="00193C41"/>
    <w:rsid w:val="001D31A8"/>
    <w:rsid w:val="001E3D5E"/>
    <w:rsid w:val="001F3F9C"/>
    <w:rsid w:val="00232689"/>
    <w:rsid w:val="00302F8C"/>
    <w:rsid w:val="00323D64"/>
    <w:rsid w:val="003B4C54"/>
    <w:rsid w:val="003C33CD"/>
    <w:rsid w:val="00452C5C"/>
    <w:rsid w:val="004E0CE9"/>
    <w:rsid w:val="0055216B"/>
    <w:rsid w:val="005641B5"/>
    <w:rsid w:val="00616A70"/>
    <w:rsid w:val="00622383"/>
    <w:rsid w:val="006402E6"/>
    <w:rsid w:val="0064586C"/>
    <w:rsid w:val="006544A0"/>
    <w:rsid w:val="006F57C2"/>
    <w:rsid w:val="00700DCF"/>
    <w:rsid w:val="007237F6"/>
    <w:rsid w:val="00764FCA"/>
    <w:rsid w:val="00774121"/>
    <w:rsid w:val="00796803"/>
    <w:rsid w:val="007B2B3A"/>
    <w:rsid w:val="007B3473"/>
    <w:rsid w:val="007E02FE"/>
    <w:rsid w:val="007F66FC"/>
    <w:rsid w:val="0086584F"/>
    <w:rsid w:val="00872487"/>
    <w:rsid w:val="00951987"/>
    <w:rsid w:val="00982BCB"/>
    <w:rsid w:val="00A278FD"/>
    <w:rsid w:val="00A32532"/>
    <w:rsid w:val="00A50615"/>
    <w:rsid w:val="00A52B67"/>
    <w:rsid w:val="00AD354E"/>
    <w:rsid w:val="00B44DCA"/>
    <w:rsid w:val="00BB353E"/>
    <w:rsid w:val="00CA5005"/>
    <w:rsid w:val="00D360F8"/>
    <w:rsid w:val="00D94588"/>
    <w:rsid w:val="00E14607"/>
    <w:rsid w:val="00E72FF6"/>
    <w:rsid w:val="00F4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5872"/>
    <w:pPr>
      <w:spacing w:line="360" w:lineRule="auto"/>
      <w:jc w:val="both"/>
    </w:pPr>
    <w:rPr>
      <w:rFonts w:ascii="Tahoma" w:hAnsi="Tahoma"/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3C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4D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4DC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4D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4DC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C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93C41"/>
    <w:pPr>
      <w:spacing w:before="480" w:line="276" w:lineRule="auto"/>
      <w:outlineLvl w:val="9"/>
    </w:pPr>
    <w:rPr>
      <w:b/>
      <w:bCs/>
      <w:sz w:val="28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93C41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193C41"/>
    <w:pPr>
      <w:ind w:left="240"/>
    </w:pPr>
    <w:rPr>
      <w:rFonts w:cs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193C41"/>
    <w:pPr>
      <w:ind w:left="480"/>
    </w:pPr>
    <w:rPr>
      <w:rFonts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82BCB"/>
    <w:pPr>
      <w:tabs>
        <w:tab w:val="left" w:pos="851"/>
        <w:tab w:val="right" w:leader="dot" w:pos="9054"/>
      </w:tabs>
      <w:ind w:left="284"/>
    </w:pPr>
    <w:rPr>
      <w:rFonts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93C41"/>
    <w:pPr>
      <w:ind w:left="960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93C41"/>
    <w:pPr>
      <w:ind w:left="1200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93C41"/>
    <w:pPr>
      <w:ind w:left="1440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93C41"/>
    <w:pPr>
      <w:ind w:left="1680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93C41"/>
    <w:pPr>
      <w:ind w:left="1920"/>
    </w:pPr>
    <w:rPr>
      <w:rFonts w:cstheme="minorHAnsi"/>
      <w:sz w:val="18"/>
      <w:szCs w:val="18"/>
    </w:rPr>
  </w:style>
  <w:style w:type="paragraph" w:styleId="Akapitzlist">
    <w:name w:val="List Paragraph"/>
    <w:basedOn w:val="Normalny"/>
    <w:uiPriority w:val="34"/>
    <w:qFormat/>
    <w:rsid w:val="00193C4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4D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4DC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4DC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4D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B44DCA"/>
    <w:rPr>
      <w:color w:val="0563C1" w:themeColor="hyperlink"/>
      <w:u w:val="single"/>
    </w:rPr>
  </w:style>
  <w:style w:type="paragraph" w:styleId="Tekstpodstawowy">
    <w:name w:val="Body Text"/>
    <w:aliases w:val="body text,UNI-Tekst w tabeli,Znak"/>
    <w:basedOn w:val="Normalny"/>
    <w:link w:val="TekstpodstawowyZnak"/>
    <w:rsid w:val="00B44DCA"/>
    <w:pPr>
      <w:spacing w:after="120"/>
    </w:pPr>
    <w:rPr>
      <w:rFonts w:ascii="Arial" w:eastAsia="Times New Roman" w:hAnsi="Arial" w:cs="Times New Roman"/>
      <w:lang w:eastAsia="pl-PL"/>
    </w:rPr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rsid w:val="00B44DCA"/>
    <w:rPr>
      <w:rFonts w:ascii="Arial" w:eastAsia="Times New Roman" w:hAnsi="Arial" w:cs="Times New Roman"/>
      <w:sz w:val="22"/>
      <w:lang w:eastAsia="pl-PL"/>
    </w:rPr>
  </w:style>
  <w:style w:type="table" w:styleId="Tabela-Siatka">
    <w:name w:val="Table Grid"/>
    <w:basedOn w:val="Standardowy"/>
    <w:uiPriority w:val="39"/>
    <w:rsid w:val="007E0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1545E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5E3"/>
    <w:rPr>
      <w:rFonts w:ascii="Tahoma" w:hAnsi="Tahoma"/>
      <w:sz w:val="22"/>
    </w:rPr>
  </w:style>
  <w:style w:type="character" w:styleId="Numerstrony">
    <w:name w:val="page number"/>
    <w:basedOn w:val="Domylnaczcionkaakapitu"/>
    <w:uiPriority w:val="99"/>
    <w:semiHidden/>
    <w:unhideWhenUsed/>
    <w:rsid w:val="001545E3"/>
  </w:style>
  <w:style w:type="paragraph" w:styleId="Nagwek">
    <w:name w:val="header"/>
    <w:basedOn w:val="Normalny"/>
    <w:link w:val="NagwekZnak"/>
    <w:uiPriority w:val="99"/>
    <w:unhideWhenUsed/>
    <w:rsid w:val="001545E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5E3"/>
    <w:rPr>
      <w:rFonts w:ascii="Tahoma" w:hAnsi="Tahoma"/>
      <w:sz w:val="22"/>
    </w:rPr>
  </w:style>
  <w:style w:type="paragraph" w:styleId="Poprawka">
    <w:name w:val="Revision"/>
    <w:hidden/>
    <w:uiPriority w:val="99"/>
    <w:semiHidden/>
    <w:rsid w:val="00CA5005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41B5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41B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977188E-027B-4F31-BB62-E518CA764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15</Pages>
  <Words>3792</Words>
  <Characters>22757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Kozyra</dc:creator>
  <cp:keywords/>
  <dc:description/>
  <cp:lastModifiedBy>Renata Pietrus-Zemła</cp:lastModifiedBy>
  <cp:revision>19</cp:revision>
  <dcterms:created xsi:type="dcterms:W3CDTF">2024-07-09T15:21:00Z</dcterms:created>
  <dcterms:modified xsi:type="dcterms:W3CDTF">2024-08-22T08:38:00Z</dcterms:modified>
</cp:coreProperties>
</file>